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MOM.6.f — Measures to avoid catheter and tubing mis-connections during medication administration are implemented.</w:t>
      </w:r>
    </w:p>
    <w:p>
      <w:r>
        <w:t>MOM.6 Record 06 — Tubing and connection spot-check log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tubing tracing and labelling practice is actually spot-checked monthly -- not assumed correct because no mis-connection has happened yet.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The monthly spot-check confirms enteral and parenteral lines are using different connectors and are labelled at both ends in the ICU.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An enteral feed connected into a vein, or a medication line connected into the wrong tubing, is a mis-connection that physical checks -- not assumptions about which line goes where -- are what prevent.</w:t>
            </w:r>
          </w:p>
        </w:tc>
      </w:tr>
    </w:tbl>
    <w:p/>
    <w:p>
      <w:r>
        <w:t>How to fill this in — column by column</w:t>
      </w:r>
    </w:p>
    <w:p>
      <w:r>
        <w:t>Spot-Check Date: Monthly check date.</w:t>
      </w:r>
    </w:p>
    <w:p>
      <w:r>
        <w:t>Unit/Ward: Where checked.</w:t>
      </w:r>
    </w:p>
    <w:p>
      <w:r>
        <w:t>Tracing Practice Observed (Y/N): Whether tubing was traced before connecting.</w:t>
      </w:r>
    </w:p>
    <w:p>
      <w:r>
        <w:t>Labelling at Both Ends (Y/N): Result.</w:t>
      </w:r>
    </w:p>
    <w:p>
      <w:r>
        <w:t>Checked By: Ward in-charge nurse.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Management of Medication chapter, standard MOM.6.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Spot-Check Date</w:t>
            </w:r>
          </w:p>
        </w:tc>
        <w:tc>
          <w:tcPr>
            <w:tcW w:type="dxa" w:w="1728"/>
          </w:tcPr>
          <w:p>
            <w:r>
              <w:t>Unit/Ward</w:t>
            </w:r>
          </w:p>
        </w:tc>
        <w:tc>
          <w:tcPr>
            <w:tcW w:type="dxa" w:w="1728"/>
          </w:tcPr>
          <w:p>
            <w:r>
              <w:t>Tracing Practice Observed (Y/N)</w:t>
            </w:r>
          </w:p>
        </w:tc>
        <w:tc>
          <w:tcPr>
            <w:tcW w:type="dxa" w:w="1728"/>
          </w:tcPr>
          <w:p>
            <w:r>
              <w:t>Labelling at Both Ends (Y/N)</w:t>
            </w:r>
          </w:p>
        </w:tc>
        <w:tc>
          <w:tcPr>
            <w:tcW w:type="dxa" w:w="1728"/>
          </w:tcPr>
          <w:p>
            <w:r>
              <w:t>Checked By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30-Apr-2026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ICU</w:t>
            </w:r>
          </w:p>
        </w:tc>
        <w:tc>
          <w:tcPr>
            <w:tcW w:type="dxa" w:w="1728"/>
            <w:shd w:val="clear" w:color="auto" w:fill="FFF2CC"/>
          </w:tcPr>
          <w:p>
            <w:r>
              <w:t>Y</w:t>
            </w:r>
          </w:p>
        </w:tc>
        <w:tc>
          <w:tcPr>
            <w:tcW w:type="dxa" w:w="1728"/>
            <w:shd w:val="clear" w:color="auto" w:fill="FFF2CC"/>
          </w:tcPr>
          <w:p>
            <w:r>
              <w:t>Y</w:t>
            </w:r>
          </w:p>
        </w:tc>
        <w:tc>
          <w:tcPr>
            <w:tcW w:type="dxa" w:w="1728"/>
            <w:shd w:val="clear" w:color="auto" w:fill="FFF2CC"/>
          </w:tcPr>
          <w:p>
            <w:r>
              <w:t>Ward In-Charge Nurse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