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MOM.6.h — Measures to govern patient's self-administration of medications are implemented.</w:t>
      </w:r>
    </w:p>
    <w:p>
      <w:r>
        <w:t>MOM.6 Record 08 — Self-administration authorisation and competence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self-administration was actually authorised in writing and the patient's competence was assessed -- not assumed because the patient asked to.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patient's own inhaler use is authorised in writing by the treating doctor after the nurse confirms the patient demonstrates correct technique and understands the dosing schedule.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patient allowed to self-administer with nobody checking whether they actually understand their own dosing schedule is a decision made on an assumption of competence that was never actually assessed.</w:t>
            </w:r>
          </w:p>
        </w:tc>
      </w:tr>
    </w:tbl>
    <w:p/>
    <w:p>
      <w:r>
        <w:t>How to fill this in — column by column</w:t>
      </w:r>
    </w:p>
    <w:p>
      <w:r>
        <w:t>Date: Date authorised.</w:t>
      </w:r>
    </w:p>
    <w:p>
      <w:r>
        <w:t>Patient (Identifier 1) / UID (Identifier 2): The patient.</w:t>
      </w:r>
    </w:p>
    <w:p>
      <w:r>
        <w:t>Medication: What is self-administered.</w:t>
      </w:r>
    </w:p>
    <w:p>
      <w:r>
        <w:t>Doctor's Written Authorisation (Y/N): Confirmed present.</w:t>
      </w:r>
    </w:p>
    <w:p>
      <w:r>
        <w:t>Competence Assessed By / Result: Nurse's assessment.</w:t>
      </w:r>
    </w:p>
    <w:p>
      <w:r>
        <w:t>Checked at Medication Rounds (Y/N): Ongoing compliance checks.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MOM.6.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Patient (Identifier 1) / UID (Identifier 2)</w:t>
            </w:r>
          </w:p>
        </w:tc>
        <w:tc>
          <w:tcPr>
            <w:tcW w:type="dxa" w:w="1440"/>
          </w:tcPr>
          <w:p>
            <w:r>
              <w:t>Medication</w:t>
            </w:r>
          </w:p>
        </w:tc>
        <w:tc>
          <w:tcPr>
            <w:tcW w:type="dxa" w:w="1440"/>
          </w:tcPr>
          <w:p>
            <w:r>
              <w:t>Doctor's Written Authorisation (Y/N)</w:t>
            </w:r>
          </w:p>
        </w:tc>
        <w:tc>
          <w:tcPr>
            <w:tcW w:type="dxa" w:w="1440"/>
          </w:tcPr>
          <w:p>
            <w:r>
              <w:t>Competence Assessed By / Result</w:t>
            </w:r>
          </w:p>
        </w:tc>
        <w:tc>
          <w:tcPr>
            <w:tcW w:type="dxa" w:w="1440"/>
          </w:tcPr>
          <w:p>
            <w:r>
              <w:t>Checked at Medication Rounds (Y/N)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WORKED EXAMPLE — 04-May-2026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Priyanka Shetty / UID-00779</w:t>
            </w:r>
          </w:p>
        </w:tc>
        <w:tc>
          <w:tcPr>
            <w:tcW w:type="dxa" w:w="1440"/>
            <w:shd w:val="clear" w:color="auto" w:fill="FFF2CC"/>
          </w:tcPr>
          <w:p>
            <w:r>
              <w:t>Salbutamol inhaler</w:t>
            </w:r>
          </w:p>
        </w:tc>
        <w:tc>
          <w:tcPr>
            <w:tcW w:type="dxa" w:w="1440"/>
            <w:shd w:val="clear" w:color="auto" w:fill="FFF2CC"/>
          </w:tcPr>
          <w:p>
            <w:r>
              <w:t>Y — Dr. Krishnan</w:t>
            </w:r>
          </w:p>
        </w:tc>
        <w:tc>
          <w:tcPr>
            <w:tcW w:type="dxa" w:w="1440"/>
            <w:shd w:val="clear" w:color="auto" w:fill="FFF2CC"/>
          </w:tcPr>
          <w:p>
            <w:r>
              <w:t>Staff Nurse A. Pinto — competent, correct technique demonstrated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