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MOM.7.d — Near miss, medication error and adverse drug reaction are reported and analysed within a specified time frame.</w:t>
      </w:r>
    </w:p>
    <w:p>
      <w:r>
        <w:t>MOM.7 Record 04 — Medication-event reporting and analysis timeline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every captured event was reported and analysed within the hospital's defined time frames -- not analysed weeks later when the details have already faded.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An ADR reported within one hour of occurrence is analysed by the Pharmacy In-Charge within seven days, with the finding presented to the committee at its next quarterly meeting.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An adverse drug reaction analysed three weeks later has already lost the chance to protect the next patient who might have the same reaction this week.</w:t>
            </w:r>
          </w:p>
        </w:tc>
      </w:tr>
    </w:tbl>
    <w:p/>
    <w:p>
      <w:r>
        <w:t>How to fill this in — column by column</w:t>
      </w:r>
    </w:p>
    <w:p>
      <w:r>
        <w:t>Event Date/Time: When the event occurred.</w:t>
      </w:r>
    </w:p>
    <w:p>
      <w:r>
        <w:t>Reported Date/Time: When it was reported (within 1 hr for ADR/error, 24 hrs for near-miss).</w:t>
      </w:r>
    </w:p>
    <w:p>
      <w:r>
        <w:t>Analysis Completed Date: Within 7 days.</w:t>
      </w:r>
    </w:p>
    <w:p>
      <w:r>
        <w:t>Analysis Method: Root-cause or trend analysis.</w:t>
      </w:r>
    </w:p>
    <w:p>
      <w:r>
        <w:t>Pharmacovigilance Reported (Y/N/NA): For serious/unexpected ADRs, to the AMC.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MOM.7.</w:t>
      </w:r>
    </w:p>
    <w:p>
      <w:pPr>
        <w:pStyle w:val="ListParagraph"/>
      </w:pPr>
      <w:r>
        <w:t xml:space="preserve">• </w:t>
      </w:r>
      <w:r>
        <w:t xml:space="preserve">Indian Pharmacopoeia Commission, Ministry of Health and Family Welfare. </w:t>
      </w:r>
      <w:hyperlink r:id="rId10">
        <w:r>
          <w:rPr>
            <w:color w:val="0563C1"/>
            <w:u w:val="single"/>
          </w:rPr>
          <w:t>Pharmacovigilance Programme of India (PvPI)</w:t>
        </w:r>
      </w:hyperlink>
      <w:r>
        <w:t xml:space="preserve"> — the national scheme to which serious or unexpected adverse drug reactions are reported through the ADR Monitoring Centre (AMC) network.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Event Date/Time</w:t>
            </w:r>
          </w:p>
        </w:tc>
        <w:tc>
          <w:tcPr>
            <w:tcW w:type="dxa" w:w="1728"/>
          </w:tcPr>
          <w:p>
            <w:r>
              <w:t>Reported Date/Time</w:t>
            </w:r>
          </w:p>
        </w:tc>
        <w:tc>
          <w:tcPr>
            <w:tcW w:type="dxa" w:w="1728"/>
          </w:tcPr>
          <w:p>
            <w:r>
              <w:t>Analysis Completed Date</w:t>
            </w:r>
          </w:p>
        </w:tc>
        <w:tc>
          <w:tcPr>
            <w:tcW w:type="dxa" w:w="1728"/>
          </w:tcPr>
          <w:p>
            <w:r>
              <w:t>Analysis Method</w:t>
            </w:r>
          </w:p>
        </w:tc>
        <w:tc>
          <w:tcPr>
            <w:tcW w:type="dxa" w:w="1728"/>
          </w:tcPr>
          <w:p>
            <w:r>
              <w:t>Pharmacovigilance Reported (Y/N/NA)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14-May-2026, 10:30 AM</w:t>
            </w:r>
          </w:p>
        </w:tc>
        <w:tc>
          <w:tcPr>
            <w:tcW w:type="dxa" w:w="1728"/>
            <w:shd w:val="clear" w:color="auto" w:fill="FFF2CC"/>
          </w:tcPr>
          <w:p>
            <w:r>
              <w:t>14-May-2026, 11:00 AM (within 1 hr)</w:t>
            </w:r>
          </w:p>
        </w:tc>
        <w:tc>
          <w:tcPr>
            <w:tcW w:type="dxa" w:w="1728"/>
            <w:shd w:val="clear" w:color="auto" w:fill="FFF2CC"/>
          </w:tcPr>
          <w:p>
            <w:r>
              <w:t>20-May-2026 (within 7 days)</w:t>
            </w:r>
          </w:p>
        </w:tc>
        <w:tc>
          <w:tcPr>
            <w:tcW w:type="dxa" w:w="1728"/>
            <w:shd w:val="clear" w:color="auto" w:fill="FFF2CC"/>
          </w:tcPr>
          <w:p>
            <w:r>
              <w:t>Root-cause analysis</w:t>
            </w:r>
          </w:p>
        </w:tc>
        <w:tc>
          <w:tcPr>
            <w:tcW w:type="dxa" w:w="1728"/>
            <w:shd w:val="clear" w:color="auto" w:fill="FFF2CC"/>
          </w:tcPr>
          <w:p>
            <w:r>
              <w:t>N — not serious/unexpected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ipc.gov.in/8-category-en/1215-introduction-to-pvpi-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