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MOM.7.e — Corrective and/or preventive action(s) are taken based on the analysis.</w:t>
      </w:r>
    </w:p>
    <w:p>
      <w:r>
        <w:t>MOM.7 Record 05 — Medication-event CAPA and trend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analysis findings actually produced a decided action, tracked to closure, and that aggregate trends are reviewed to set improvement targets -- not a one-off fix with no follow-through.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Following a recurring rash reaction to a particular antibiotic class, the committee restricts its formulary use and tracks the restriction as implemented.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analysis that identifies the cause but changes nothing leaves the next patient exposed to the exact same risk.</w:t>
            </w:r>
          </w:p>
        </w:tc>
      </w:tr>
    </w:tbl>
    <w:p/>
    <w:p>
      <w:r>
        <w:t>How to fill this in — column by column</w:t>
      </w:r>
    </w:p>
    <w:p>
      <w:r>
        <w:t>Finding (from Analysis): What the analysis found.</w:t>
      </w:r>
    </w:p>
    <w:p>
      <w:r>
        <w:t>CAPA Decided: System redesign, process change, education, formulary restriction, or feedback.</w:t>
      </w:r>
    </w:p>
    <w:p>
      <w:r>
        <w:t>Owner / Due Date: Who is responsible and by when.</w:t>
      </w:r>
    </w:p>
    <w:p>
      <w:r>
        <w:t>Closure Evidence: How it was confirmed done.</w:t>
      </w:r>
    </w:p>
    <w:p>
      <w:r>
        <w:t>Quarterly Trend (Error/ADR Rate): Aggregate figure reported to the committee.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MOM.7.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Finding (from Analysis)</w:t>
            </w:r>
          </w:p>
        </w:tc>
        <w:tc>
          <w:tcPr>
            <w:tcW w:type="dxa" w:w="1728"/>
          </w:tcPr>
          <w:p>
            <w:r>
              <w:t>CAPA Decided</w:t>
            </w:r>
          </w:p>
        </w:tc>
        <w:tc>
          <w:tcPr>
            <w:tcW w:type="dxa" w:w="1728"/>
          </w:tcPr>
          <w:p>
            <w:r>
              <w:t>Owner / Due Date</w:t>
            </w:r>
          </w:p>
        </w:tc>
        <w:tc>
          <w:tcPr>
            <w:tcW w:type="dxa" w:w="1728"/>
          </w:tcPr>
          <w:p>
            <w:r>
              <w:t>Closure Evidence</w:t>
            </w:r>
          </w:p>
        </w:tc>
        <w:tc>
          <w:tcPr>
            <w:tcW w:type="dxa" w:w="1728"/>
          </w:tcPr>
          <w:p>
            <w:r>
              <w:t>Quarterly Trend (Error/ADR Rate)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Recurring rash reaction to a cephalosporin class</w:t>
            </w:r>
          </w:p>
        </w:tc>
        <w:tc>
          <w:tcPr>
            <w:tcW w:type="dxa" w:w="1728"/>
            <w:shd w:val="clear" w:color="auto" w:fill="FFF2CC"/>
          </w:tcPr>
          <w:p>
            <w:r>
              <w:t>Formulary restriction added; Pharmacy In-Charge / 01-Jun-2026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Formulary updated, prescribers notified 28-May-2026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ADR rate Q2 2026: 0.4% of administrations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