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MOM.9.c — The batch and the serial number of the implantable prosthesis and medical devices are recorded in the patients' medical records, the master logbook and the discharge summary.</w:t>
      </w:r>
    </w:p>
    <w:p>
      <w:r>
        <w:t>MOM.9 Record 03 — Implant traceability record (medical record / master logbook / discharge summary)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the batch and serial number of every implant was actually recorded in all three required places -- not written once and never carried through to the discharge summary.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After a hip-replacement surgery, the operating team records the implant's batch and serial number in the patient's medical record, the master logbook, and the discharge summary.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An implant placed inside a patient cannot be taken back and reassessed the way a tablet can be returned to the pharmacy -- the traceability has to be right the first time.</w:t>
            </w:r>
          </w:p>
        </w:tc>
      </w:tr>
    </w:tbl>
    <w:p/>
    <w:p>
      <w:r>
        <w:t>How to fill this in — column by column</w:t>
      </w:r>
    </w:p>
    <w:p>
      <w:r>
        <w:t>Date of Implantation: Date of the procedure.</w:t>
      </w:r>
    </w:p>
    <w:p>
      <w:r>
        <w:t>Patient (Identifier 1) / UID (Identifier 2): The patient.</w:t>
      </w:r>
    </w:p>
    <w:p>
      <w:r>
        <w:t>Implant / Batch / Serial Number: Full identification.</w:t>
      </w:r>
    </w:p>
    <w:p>
      <w:r>
        <w:t>Recorded in Medical Record (Y/N): Confirmed.</w:t>
      </w:r>
    </w:p>
    <w:p>
      <w:r>
        <w:t>Recorded in Master Logbook (Y/N): Confirmed.</w:t>
      </w:r>
    </w:p>
    <w:p>
      <w:r>
        <w:t>Recorded in Discharge Summary (Y/N): Confirmed.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Management of Medication chapter, standard MOM.9.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Date of Implantation</w:t>
            </w:r>
          </w:p>
        </w:tc>
        <w:tc>
          <w:tcPr>
            <w:tcW w:type="dxa" w:w="1440"/>
          </w:tcPr>
          <w:p>
            <w:r>
              <w:t>Patient (Identifier 1) / UID (Identifier 2)</w:t>
            </w:r>
          </w:p>
        </w:tc>
        <w:tc>
          <w:tcPr>
            <w:tcW w:type="dxa" w:w="1440"/>
          </w:tcPr>
          <w:p>
            <w:r>
              <w:t>Implant / Batch / Serial Number</w:t>
            </w:r>
          </w:p>
        </w:tc>
        <w:tc>
          <w:tcPr>
            <w:tcW w:type="dxa" w:w="1440"/>
          </w:tcPr>
          <w:p>
            <w:r>
              <w:t>Recorded in Medical Record (Y/N)</w:t>
            </w:r>
          </w:p>
        </w:tc>
        <w:tc>
          <w:tcPr>
            <w:tcW w:type="dxa" w:w="1440"/>
          </w:tcPr>
          <w:p>
            <w:r>
              <w:t>Recorded in Master Logbook (Y/N)</w:t>
            </w:r>
          </w:p>
        </w:tc>
        <w:tc>
          <w:tcPr>
            <w:tcW w:type="dxa" w:w="1440"/>
          </w:tcPr>
          <w:p>
            <w:r>
              <w:t>Recorded in Discharge Summary (Y/N)</w:t>
            </w:r>
          </w:p>
        </w:tc>
      </w:tr>
      <w:t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c>
          <w:tcPr>
            <w:tcW w:type="dxa" w:w="1440"/>
            <w:shd w:val="clear" w:color="auto" w:fill="FFF2CC"/>
          </w:tcPr>
          <w:p>
            <w:r>
              <w:t>WORKED EXAMPLE — 30-May-2026</w:t>
            </w:r>
          </w:p>
        </w:tc>
        <w:tc>
          <w:tcPr>
            <w:tcW w:type="dxa" w:w="1440"/>
            <w:shd w:val="clear" w:color="auto" w:fill="FFF2CC"/>
          </w:tcPr>
          <w:p>
            <w:r>
              <w:t>Rajesh Khanna / UID-00825</w:t>
            </w:r>
          </w:p>
        </w:tc>
        <w:tc>
          <w:tcPr>
            <w:tcW w:type="dxa" w:w="1440"/>
            <w:shd w:val="clear" w:color="auto" w:fill="FFF2CC"/>
          </w:tcPr>
          <w:p>
            <w:r>
              <w:t>Titanium knee prosthesis / Batch TK-2026-089 / Serial SN-91045</w:t>
            </w:r>
          </w:p>
        </w:tc>
        <w:tc>
          <w:tcPr>
            <w:tcW w:type="dxa" w:w="1440"/>
            <w:shd w:val="clear" w:color="auto" w:fill="FFF2CC"/>
          </w:tcPr>
          <w:p>
            <w:r>
              <w:t>Y</w:t>
            </w:r>
          </w:p>
        </w:tc>
        <w:tc>
          <w:tcPr>
            <w:tcW w:type="dxa" w:w="1440"/>
            <w:shd w:val="clear" w:color="auto" w:fill="FFF2CC"/>
          </w:tcPr>
          <w:p>
            <w:r>
              <w:t>Y</w:t>
            </w:r>
          </w:p>
        </w:tc>
        <w:tc>
          <w:tcPr>
            <w:tcW w:type="dxa" w:w="1440"/>
            <w:shd w:val="clear" w:color="auto" w:fill="FFF2CC"/>
          </w:tcPr>
          <w:p>
            <w:r>
              <w:t>Y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