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AAC.1.c — Scope of healthcare services of each department is defined.</w:t>
      </w:r>
    </w:p>
    <w:p>
      <w:r>
        <w:t>AAC.1 Record 02 — Out-of-scope presentation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patient presented.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Need Presented: What the patient needed.</w:t>
      </w:r>
    </w:p>
    <w:p>
      <w:pPr>
        <w:pStyle w:val="ListParagraph"/>
      </w:pPr>
      <w:r>
        <w:t>Why Outside Scope: Which defined limit this falls outside.</w:t>
      </w:r>
    </w:p>
    <w:p>
      <w:pPr>
        <w:pStyle w:val="ListParagraph"/>
      </w:pPr>
      <w:r>
        <w:t>Referral / Transfer Given: Where the patient was referred or transferred, per the AAC.2.f SOP.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presentation a department had to turn away because it fell outside documented scope, and confirms the patient left with a real referral, not just a refusal.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Registration or the treating clinician logs this at the time it happens. The worked example shows an under-age paediatric case correctly referred out.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scope statement with no record of what happened to patients it excluded cannot be shown to protect patients, only paperwork — this record is the proof the exclusion came with a real next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Need Presented</w:t>
            </w:r>
          </w:p>
        </w:tc>
        <w:tc>
          <w:tcPr>
            <w:tcW w:type="dxa" w:w="1728"/>
          </w:tcPr>
          <w:p>
            <w:r>
              <w:t>Why Outside Scope</w:t>
            </w:r>
          </w:p>
        </w:tc>
        <w:tc>
          <w:tcPr>
            <w:tcW w:type="dxa" w:w="1728"/>
          </w:tcPr>
          <w:p>
            <w:r>
              <w:t>Referral / Transfer Given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09-Mar-2026 / 16:40</w:t>
            </w:r>
          </w:p>
        </w:tc>
        <w:tc>
          <w:tcPr>
            <w:tcW w:type="dxa" w:w="1728"/>
            <w:shd w:val="clear" w:color="auto" w:fill="FFF2CC"/>
          </w:tcPr>
          <w:p>
            <w:r>
              <w:t>Walk-in, not registered</w:t>
            </w:r>
          </w:p>
        </w:tc>
        <w:tc>
          <w:tcPr>
            <w:tcW w:type="dxa" w:w="1728"/>
            <w:shd w:val="clear" w:color="auto" w:fill="FFF2CC"/>
          </w:tcPr>
          <w:p>
            <w:r>
              <w:t>Paediatric case, 11 months old, OPD consultation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OPD scope excludes paediatric cases under 2 years</w:t>
            </w:r>
          </w:p>
        </w:tc>
        <w:tc>
          <w:tcPr>
            <w:tcW w:type="dxa" w:w="1728"/>
            <w:shd w:val="clear" w:color="auto" w:fill="FFF2CC"/>
          </w:tcPr>
          <w:p>
            <w:r>
              <w:t>Referred to District Paediatric Hospital, address and contact given to family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