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AAC.2.a — The organization has a mechanism for registering and admitting patients.</w:t>
      </w:r>
    </w:p>
    <w:p>
      <w:r>
        <w:t>AAC.2 Record 03 — Duplicate unique-number audit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Audit Date: When the periodic duplicate check was run.</w:t>
      </w:r>
    </w:p>
    <w:p>
      <w:pPr>
        <w:pStyle w:val="ListParagraph"/>
      </w:pPr>
      <w:r>
        <w:t>Method: How the master index was checked (name/DOB match, etc.).</w:t>
      </w:r>
    </w:p>
    <w:p>
      <w:pPr>
        <w:pStyle w:val="ListParagraph"/>
      </w:pPr>
      <w:r>
        <w:t>Duplicates Found: Number of duplicate-number cases found, if any.</w:t>
      </w:r>
    </w:p>
    <w:p>
      <w:pPr>
        <w:pStyle w:val="ListParagraph"/>
      </w:pPr>
      <w:r>
        <w:t>Patient(s) Affected: Patient ID(s) involved, if any duplicates found.</w:t>
      </w:r>
    </w:p>
    <w:p>
      <w:pPr>
        <w:pStyle w:val="ListParagraph"/>
      </w:pPr>
      <w:r>
        <w:t>Resolution: How the duplicate was merged/corrected.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after="200" w:before="40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Access, Assessment and Care of Patients chapter, standard AAC.2.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is the periodic check confirming no patient has been issued two unique numbers, with every duplicate found actually resolved.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Medical Records runs this check periodically. The worked example shows a duplicate found and merged, with a clear resolution trail.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unique-numbering system that is never audited for duplicates cannot be shown to actually be unique — this record is the check that makes it so.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Audit Date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Duplicates Found</w:t>
            </w:r>
          </w:p>
        </w:tc>
        <w:tc>
          <w:tcPr>
            <w:tcW w:type="dxa" w:w="1728"/>
          </w:tcPr>
          <w:p>
            <w:r>
              <w:t>Patient(s) Affected</w:t>
            </w:r>
          </w:p>
        </w:tc>
        <w:tc>
          <w:tcPr>
            <w:tcW w:type="dxa" w:w="1728"/>
          </w:tcPr>
          <w:p>
            <w:r>
              <w:t>Resolution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28-Feb-2026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Name + DOB cross-match on master index</w:t>
            </w:r>
          </w:p>
        </w:tc>
        <w:tc>
          <w:tcPr>
            <w:tcW w:type="dxa" w:w="1728"/>
            <w:shd w:val="clear" w:color="auto" w:fill="FFF2CC"/>
          </w:tcPr>
          <w:p>
            <w:r>
              <w:t>1</w:t>
            </w:r>
          </w:p>
        </w:tc>
        <w:tc>
          <w:tcPr>
            <w:tcW w:type="dxa" w:w="1728"/>
            <w:shd w:val="clear" w:color="auto" w:fill="FFF2CC"/>
          </w:tcPr>
          <w:p>
            <w:r>
              <w:t>SHC-2026-00098 and SHC-2026-00142 (same patient)</w:t>
            </w:r>
          </w:p>
        </w:tc>
        <w:tc>
          <w:tcPr>
            <w:tcW w:type="dxa" w:w="1728"/>
            <w:shd w:val="clear" w:color="auto" w:fill="FFF2CC"/>
          </w:tcPr>
          <w:p>
            <w:r>
              <w:t>Records merged under SHC-2026-00098; later number retired and cross-referenced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