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AAC.2.a — The organization has a mechanism for registering and admitting patients.</w:t>
      </w:r>
    </w:p>
    <w:p>
      <w:r>
        <w:t>AAC.2 Record 04 — Non-accepted (service-unavailable) presentation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Date/Time: When the patient presented.</w:t>
      </w:r>
    </w:p>
    <w:p>
      <w:pPr>
        <w:pStyle w:val="ListParagraph"/>
      </w:pPr>
      <w:r>
        <w:t>Patient: Patient name or temporary identifier.</w:t>
      </w:r>
    </w:p>
    <w:p>
      <w:pPr>
        <w:pStyle w:val="ListParagraph"/>
      </w:pPr>
      <w:r>
        <w:t>Service Needed: What the patient needed.</w:t>
      </w:r>
    </w:p>
    <w:p>
      <w:pPr>
        <w:pStyle w:val="ListParagraph"/>
      </w:pPr>
      <w:r>
        <w:t>Reason Not Accepted: The specific scope limit that applied.</w:t>
      </w:r>
    </w:p>
    <w:p>
      <w:pPr>
        <w:pStyle w:val="ListParagraph"/>
      </w:pPr>
      <w:r>
        <w:t>Advice / Referral Given: What the patient was told or referred to.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logs every non-emergency patient the organisation could not accept, confirming each one left with real advice or a real referral, not just a refusal.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Registration staff log this at the point of non-acceptance. The worked example shows a dialysis request correctly declined and referred.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Turning a patient away with no record of what happened next cannot be distinguished, from the record alone, from a patient simply being refused care — this log is what proves the refusal came with a genuine next step.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Date/Time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Service Needed</w:t>
            </w:r>
          </w:p>
        </w:tc>
        <w:tc>
          <w:tcPr>
            <w:tcW w:type="dxa" w:w="1728"/>
          </w:tcPr>
          <w:p>
            <w:r>
              <w:t>Reason Not Accepted</w:t>
            </w:r>
          </w:p>
        </w:tc>
        <w:tc>
          <w:tcPr>
            <w:tcW w:type="dxa" w:w="1728"/>
          </w:tcPr>
          <w:p>
            <w:r>
              <w:t>Advice / Referral Given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02-Mar-2026 / 11:20</w:t>
            </w:r>
          </w:p>
        </w:tc>
        <w:tc>
          <w:tcPr>
            <w:tcW w:type="dxa" w:w="1728"/>
            <w:shd w:val="clear" w:color="auto" w:fill="FFF2CC"/>
          </w:tcPr>
          <w:p>
            <w:r>
              <w:t>Walk-in, not registered</w:t>
            </w:r>
          </w:p>
        </w:tc>
        <w:tc>
          <w:tcPr>
            <w:tcW w:type="dxa" w:w="1728"/>
            <w:shd w:val="clear" w:color="auto" w:fill="FFF2CC"/>
          </w:tcPr>
          <w:p>
            <w:r>
              <w:t>Dialysis</w:t>
            </w:r>
          </w:p>
        </w:tc>
        <w:tc>
          <w:tcPr>
            <w:tcW w:type="dxa" w:w="1728"/>
            <w:shd w:val="clear" w:color="auto" w:fill="FFF2CC"/>
          </w:tcPr>
          <w:p>
            <w:r>
              <w:t>Not within organisation's documented scope of service</w:t>
            </w:r>
          </w:p>
        </w:tc>
        <w:tc>
          <w:tcPr>
            <w:tcW w:type="dxa" w:w="1728"/>
            <w:shd w:val="clear" w:color="auto" w:fill="FFF2CC"/>
          </w:tcPr>
          <w:p>
            <w:r>
              <w:t>Referred to City Nephrology Centre; contact details given in writing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