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AAC.3.a — The initial assessment for the out-patients, day-care, in-patients and emergency patients is done.</w:t>
      </w:r>
    </w:p>
    <w:p>
      <w:r>
        <w:t>AAC.3 Record 02 — Initial assessment gap, refusal and corrective-action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Identified: When the gap or refusal was found/occurred.</w:t>
      </w:r>
    </w:p>
    <w:p>
      <w:pPr>
        <w:pStyle w:val="ListParagraph"/>
      </w:pPr>
      <w:r>
        <w:t>Type: Documentation gap, late assessment, condition-change not updated, or patient refusal.</w:t>
      </w:r>
    </w:p>
    <w:p>
      <w:pPr>
        <w:pStyle w:val="ListParagraph"/>
      </w:pPr>
      <w:r>
        <w:t>Description: What was missing, late, or refused.</w:t>
      </w:r>
    </w:p>
    <w:p>
      <w:pPr>
        <w:pStyle w:val="ListParagraph"/>
      </w:pPr>
      <w:r>
        <w:t>Action Taken: Corrective action, escalation, or how the refusal was managed.</w:t>
      </w:r>
    </w:p>
    <w:p>
      <w:pPr>
        <w:pStyle w:val="ListParagraph"/>
      </w:pPr>
      <w:r>
        <w:t>Closure Date: When this was closed out.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gap, late assessment, or patient refusal the audit or routine care surfaces, through to a documented fix or clinical resolution.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or treating clinician logs a row whenever a gap or refusal occurs. The worked example shows a missing triage category traced to a new doctor and corrected within a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audit that finds gaps — or a refusal that is simply left unrecorded — with no documented resolution cannot show compliance with a Core-level requirement is actually improving or being managed safely.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Identified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Documentation gap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 assessment missing triage category</w:t>
            </w:r>
          </w:p>
        </w:tc>
        <w:tc>
          <w:tcPr>
            <w:tcW w:type="dxa" w:w="1728"/>
            <w:shd w:val="clear" w:color="auto" w:fill="FFF2CC"/>
          </w:tcPr>
          <w:p>
            <w:r>
              <w:t>One-to-one retraining; format checklist pinned at triage desk</w:t>
            </w:r>
          </w:p>
        </w:tc>
        <w:tc>
          <w:tcPr>
            <w:tcW w:type="dxa" w:w="1728"/>
            <w:shd w:val="clear" w:color="auto" w:fill="FFF2CC"/>
          </w:tcPr>
          <w:p>
            <w:r>
              <w:t>19-Feb-2026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