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AAC.4.c — Requisition for tests, collection, identification, handling, safe transportation, processing and disposal of specimens is performed according to written guidance.</w:t>
      </w:r>
    </w:p>
    <w:p>
      <w:r>
        <w:t>AAC.4 Record 01 — Specimen handling and disposal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Specimen ID: Linked to the patient's unique identifier.</w:t>
      </w:r>
    </w:p>
    <w:p>
      <w:pPr>
        <w:pStyle w:val="ListParagraph"/>
      </w:pPr>
      <w:r>
        <w:t>Test Requested: The test the specimen was collected for.</w:t>
      </w:r>
    </w:p>
    <w:p>
      <w:pPr>
        <w:pStyle w:val="ListParagraph"/>
      </w:pPr>
      <w:r>
        <w:t>Collection Date/Time: When the specimen was collected.</w:t>
      </w:r>
    </w:p>
    <w:p>
      <w:pPr>
        <w:pStyle w:val="ListParagraph"/>
      </w:pPr>
      <w:r>
        <w:t>Received in Lab (Date/Time): When the lab received it.</w:t>
      </w:r>
    </w:p>
    <w:p>
      <w:pPr>
        <w:pStyle w:val="ListParagraph"/>
      </w:pPr>
      <w:r>
        <w:t>Disposal Method / Date: How and when the specimen was disposed of.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AAC.4.</w:t>
      </w:r>
    </w:p>
    <w:p>
      <w:pPr>
        <w:pStyle w:val="ListParagraph"/>
        <w:spacing w:after="200" w:before="40"/>
      </w:pPr>
      <w:r>
        <w:t xml:space="preserve">Ministry of Environment, Forest and Climate Change, Government of India. (2016). </w:t>
      </w:r>
      <w:hyperlink r:id="rId10">
        <w:r>
          <w:rPr>
            <w:color w:val="0563C1"/>
            <w:u w:val="single"/>
          </w:rPr>
          <w:t>Bio-Medical Waste Management Rules, 2016 (G.S.R. 343(E), 28-Mar-2016)</w:t>
        </w:r>
      </w:hyperlink>
      <w:r>
        <w:t>. Statutory requirement for segregation, handling and disposal of specimens and biomedical waste, administered by the Central Pollution Control 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traces every specimen from collection to disposal, confirming written guidance was followed at each step.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Laboratory staff log each specimen on receipt and at disposal. The worked example shows a CBC sample tracked end to end.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this trail, a specimen-handling error — wrong label, lost sample, improper disposal — cannot be traced back to where it happened.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Specimen ID</w:t>
            </w:r>
          </w:p>
        </w:tc>
        <w:tc>
          <w:tcPr>
            <w:tcW w:type="dxa" w:w="1728"/>
          </w:tcPr>
          <w:p>
            <w:r>
              <w:t>Test Requested</w:t>
            </w:r>
          </w:p>
        </w:tc>
        <w:tc>
          <w:tcPr>
            <w:tcW w:type="dxa" w:w="1728"/>
          </w:tcPr>
          <w:p>
            <w:r>
              <w:t>Collection Date/Time</w:t>
            </w:r>
          </w:p>
        </w:tc>
        <w:tc>
          <w:tcPr>
            <w:tcW w:type="dxa" w:w="1728"/>
          </w:tcPr>
          <w:p>
            <w:r>
              <w:t>Received in Lab (Date/Time)</w:t>
            </w:r>
          </w:p>
        </w:tc>
        <w:tc>
          <w:tcPr>
            <w:tcW w:type="dxa" w:w="1728"/>
          </w:tcPr>
          <w:p>
            <w:r>
              <w:t>Disposal Method /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SHC-2026-00142-S1</w:t>
            </w:r>
          </w:p>
        </w:tc>
        <w:tc>
          <w:tcPr>
            <w:tcW w:type="dxa" w:w="1728"/>
            <w:shd w:val="clear" w:color="auto" w:fill="FFF2CC"/>
          </w:tcPr>
          <w:p>
            <w:r>
              <w:t>CBC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15-Feb-2026 / 08:10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15-Feb-2026 / 08:25</w:t>
            </w:r>
          </w:p>
        </w:tc>
        <w:tc>
          <w:tcPr>
            <w:tcW w:type="dxa" w:w="1728"/>
            <w:shd w:val="clear" w:color="auto" w:fill="FFF2CC"/>
          </w:tcPr>
          <w:p>
            <w:r>
              <w:t>Autoclaved and segregated per BMW procedure, 16-Feb-2026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cpcb.nic.in/bio-medic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