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AAC.7.d — Patient transfer within the organization is done safely.</w:t>
      </w:r>
    </w:p>
    <w:p>
      <w:r>
        <w:t>AAC.7 Record 04 — Internal patient-transfer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Time: Date and time of transfer.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From / To: Transferring unit and receiving unit.</w:t>
      </w:r>
    </w:p>
    <w:p>
      <w:pPr>
        <w:pStyle w:val="ListParagraph"/>
      </w:pPr>
      <w:r>
        <w:t>Reason &amp; Pre-Transfer Clinical Status: Reason for transfer and the patient's documented status immediately before the move.</w:t>
      </w:r>
    </w:p>
    <w:p>
      <w:pPr>
        <w:pStyle w:val="ListParagraph"/>
      </w:pPr>
      <w:r>
        <w:t>Accompanied By / Receiving Confirmation: Nurse, trained attendant or doctor who accompanied the patient, and the receiving unit's confirmation of readiness; time of arrival.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p>
      <w:pPr>
        <w:pStyle w:val="ListParagraph"/>
        <w:spacing w:after="200" w:before="40"/>
      </w:pPr>
      <w:r>
        <w:t xml:space="preserve">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Referenced as an external benchmark for structured handover communication; SHCO accreditation does not itself mandate a specific handover tool such as SBAR.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documents every internal transfer — the reason, the patient's condition just before moving, who accompanied them, and that the receiving unit was ready and handed over 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transferring nurse or doctor completes this at the time of transfer. The worked example shows a critical patient moved from Emergency to ICU with doctor accompaniment, as required for unstable patients.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internal transfer with no documented clinical status or receiving confirmation is indistinguishable, on paper, from a patient who was simply moved and lost track of — this record is the evidence that it was done safely.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Time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From / To</w:t>
            </w:r>
          </w:p>
        </w:tc>
        <w:tc>
          <w:tcPr>
            <w:tcW w:type="dxa" w:w="1728"/>
          </w:tcPr>
          <w:p>
            <w:r>
              <w:t>Reason &amp; Pre-Transfer Clinical Status</w:t>
            </w:r>
          </w:p>
        </w:tc>
        <w:tc>
          <w:tcPr>
            <w:tcW w:type="dxa" w:w="1728"/>
          </w:tcPr>
          <w:p>
            <w:r>
              <w:t>Accompanied By / Receiving Confirmation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18-Jun-2026, 14:20</w:t>
            </w:r>
          </w:p>
        </w:tc>
        <w:tc>
          <w:tcPr>
            <w:tcW w:type="dxa" w:w="1728"/>
            <w:shd w:val="clear" w:color="auto" w:fill="FFF2CC"/>
          </w:tcPr>
          <w:p>
            <w:r>
              <w:t>Fatima Sheikh / UHID 00603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to ICU</w:t>
            </w:r>
          </w:p>
        </w:tc>
        <w:tc>
          <w:tcPr>
            <w:tcW w:type="dxa" w:w="1728"/>
            <w:shd w:val="clear" w:color="auto" w:fill="FFF2CC"/>
          </w:tcPr>
          <w:p>
            <w:r>
              <w:t>Deteriorating respiratory status; stable on O2 at time of transfer</w:t>
            </w:r>
          </w:p>
        </w:tc>
        <w:tc>
          <w:tcPr>
            <w:tcW w:type="dxa" w:w="1728"/>
            <w:shd w:val="clear" w:color="auto" w:fill="FFF2CC"/>
          </w:tcPr>
          <w:p>
            <w:r>
              <w:t>Accompanied by Dr. S. Nair; ICU confirmed bed ready; arrived 14:28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