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AAC.8.b, AAC.8.c — Discharge summary contains the patient's name, unique identification number, date of admission and date of discharge; and contains the reasons for admission, significant findings and diagnosis, condition at discharge, investigation results, procedures performed, medication administered and other treatment given.</w:t>
      </w:r>
    </w:p>
    <w:p>
      <w:r>
        <w:t>AAC.8.b, AAC.8 Record 02 — Discharge-summary content completeness audit</w:t>
      </w:r>
    </w:p>
    <w:p/>
    <w:p/>
    <w:p/>
    <w:p>
      <w:r>
        <w:t>How to fill this in — column by column</w:t>
      </w:r>
    </w:p>
    <w:p>
      <w:pPr>
        <w:pStyle w:val="ListParagraph"/>
      </w:pPr>
      <w:r>
        <w:t>Audit Date: Date of the periodic completeness audit.</w:t>
      </w:r>
    </w:p>
    <w:p>
      <w:pPr>
        <w:pStyle w:val="ListParagraph"/>
      </w:pPr>
      <w:r>
        <w:t>Summary Sampled (Patient / UHID): Which discharge summary was checked.</w:t>
      </w:r>
    </w:p>
    <w:p>
      <w:pPr>
        <w:pStyle w:val="ListParagraph"/>
      </w:pPr>
      <w:r>
        <w:t>ID &amp; Dates Complete? (Y/N): Name, UHID, admission date, discharge date all present.</w:t>
      </w:r>
    </w:p>
    <w:p>
      <w:pPr>
        <w:pStyle w:val="ListParagraph"/>
      </w:pPr>
      <w:r>
        <w:t>Clinical Content Complete? (Y/N): Reason for admission, findings, diagnosis, condition, investigations, procedures, medication, treatment all present.</w:t>
      </w:r>
    </w:p>
    <w:p>
      <w:pPr>
        <w:pStyle w:val="ListParagraph"/>
      </w:pPr>
      <w:r>
        <w:t>Gap Found / Corrective Action: Any missing field and the action taken, or "None".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after="200" w:before="40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Access, Assessment and Continuity of Care chapter, standard AAC.8.b, AAC.8.</w:t>
      </w:r>
    </w:p>
    <w:p>
      <w:pPr>
        <w:pStyle w:val="ListParagraph"/>
        <w:spacing w:after="200" w:before="40"/>
      </w:pPr>
      <w:r>
        <w:t xml:space="preserve">National Medical Commission (formerly Medical Council of India). (2002, amended 2016). </w:t>
      </w:r>
      <w:hyperlink r:id="rId10">
        <w:r>
          <w:rPr>
            <w:color w:val="0563C1"/>
            <w:u w:val="single"/>
          </w:rPr>
          <w:t>Indian Medical Council (Professional Conduct, Etiquette and Ethics) Regulations, 2002, Appendix 3 (format of medical records)</w:t>
        </w:r>
      </w:hyperlink>
      <w:r>
        <w:t>. Statutory basis in India for the minimum content of a patient's medical record, including the discharge card/summary.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is the periodic sample audit the Quality Coordinator runs to confirm discharge summaries actually contain every mandatory identification and clinical field, not just that a summary exists.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Run on a sample of recent discharges each audit cycle. The worked example shows a gap (missing investigation results) caught and corrected the same day.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Issuing a summary is not the same as issuing a complete one — this audit is what actually tests completeness against the mandatory field list, field by field.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Audit Date</w:t>
            </w:r>
          </w:p>
        </w:tc>
        <w:tc>
          <w:tcPr>
            <w:tcW w:type="dxa" w:w="1728"/>
          </w:tcPr>
          <w:p>
            <w:r>
              <w:t>Summary Sampled (Patient / UHID)</w:t>
            </w:r>
          </w:p>
        </w:tc>
        <w:tc>
          <w:tcPr>
            <w:tcW w:type="dxa" w:w="1728"/>
          </w:tcPr>
          <w:p>
            <w:r>
              <w:t>ID &amp; Dates Complete? (Y/N)</w:t>
            </w:r>
          </w:p>
        </w:tc>
        <w:tc>
          <w:tcPr>
            <w:tcW w:type="dxa" w:w="1728"/>
          </w:tcPr>
          <w:p>
            <w:r>
              <w:t>Clinical Content Complete? (Y/N)</w:t>
            </w:r>
          </w:p>
        </w:tc>
        <w:tc>
          <w:tcPr>
            <w:tcW w:type="dxa" w:w="1728"/>
          </w:tcPr>
          <w:p>
            <w:r>
              <w:t>Gap Found / Corrective Action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05-Aug-2026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Kavita Rao / UHID 00714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  <w:tc>
          <w:tcPr>
            <w:tcW w:type="dxa" w:w="1728"/>
            <w:shd w:val="clear" w:color="auto" w:fill="FFF2CC"/>
          </w:tcPr>
          <w:p>
            <w:r>
              <w:t>N — investigation results not referenced</w:t>
            </w:r>
          </w:p>
        </w:tc>
        <w:tc>
          <w:tcPr>
            <w:tcW w:type="dxa" w:w="1728"/>
            <w:shd w:val="clear" w:color="auto" w:fill="FFF2CC"/>
          </w:tcPr>
          <w:p>
            <w:r>
              <w:t>Summary returned to treating doctor same day; investigation results attached; re-audited 06-Aug-2026 — now Y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Relationship Id="rId10" Type="http://schemas.openxmlformats.org/officeDocument/2006/relationships/hyperlink" Target="https://www.nmc.org.in/rules-regulations/code-of-medical-ethics-regulations-2002/1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