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HRM.1.e — The reporting relationships, job specification and job description are defined for each category of staff.</w:t>
      </w:r>
    </w:p>
    <w:p>
      <w:r>
        <w:t>HRM.1 Record 04 — Job description template — register of categories covered</w:t>
      </w:r>
    </w:p>
    <w:p/>
    <w:p/>
    <w:p/>
    <w:p>
      <w:r>
        <w:t>How to fill this in — column by column</w:t>
      </w:r>
    </w:p>
    <w:p>
      <w:pPr>
        <w:pStyle w:val="ListParagraph"/>
      </w:pPr>
      <w:r>
        <w:t>Staff Category: The job title or category this template version covers.</w:t>
      </w:r>
    </w:p>
    <w:p>
      <w:pPr>
        <w:pStyle w:val="ListParagraph"/>
      </w:pPr>
      <w:r>
        <w:t>Reporting Line: Who this category reports to, by designation.</w:t>
      </w:r>
    </w:p>
    <w:p>
      <w:pPr>
        <w:pStyle w:val="ListParagraph"/>
      </w:pPr>
      <w:r>
        <w:t>Qualifications Required: The minimum qualification stated for the role.</w:t>
      </w:r>
    </w:p>
    <w:p>
      <w:pPr>
        <w:pStyle w:val="ListParagraph"/>
      </w:pPr>
      <w:r>
        <w:t>Template Approved By: Who approved this version of the template.</w:t>
      </w:r>
    </w:p>
    <w:p>
      <w:pPr>
        <w:pStyle w:val="ListParagraph"/>
      </w:pPr>
      <w:r>
        <w:t>Approval Date: The date this version was approved.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HRM.1.</w:t>
      </w:r>
    </w:p>
    <w:p>
      <w:pPr>
        <w:pStyle w:val="ListParagraph"/>
        <w:spacing w:after="200" w:before="40"/>
      </w:pPr>
      <w:r>
        <w:t xml:space="preserve">International Organization for Standardization. (2026). </w:t>
      </w:r>
      <w:hyperlink r:id="rId10">
        <w:r>
          <w:rPr>
            <w:color w:val="0563C1"/>
            <w:u w:val="single"/>
          </w:rPr>
          <w:t>ISO 9001:2026, Quality management systems — Requirements</w:t>
        </w:r>
      </w:hyperlink>
      <w:r>
        <w:t>, clause 5.3. External benchmark only; not an NABH mandate.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which staff categories have an approved job description template and what each one requires — one row per category, updated whenever a template is created or changed.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In-Charge adds a row whenever a new staff category is defined or an existing template is revised. The worked example shows the Staff Nurse template approved 05-Jan-2026.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a defined template per category, reporting lines and qualification requirements end up decided informally for each hire, which is exactly the inconsistency a written job description is meant to prevent.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Staff Category</w:t>
            </w:r>
          </w:p>
        </w:tc>
        <w:tc>
          <w:tcPr>
            <w:tcW w:type="dxa" w:w="1728"/>
          </w:tcPr>
          <w:p>
            <w:r>
              <w:t>Reporting Line</w:t>
            </w:r>
          </w:p>
        </w:tc>
        <w:tc>
          <w:tcPr>
            <w:tcW w:type="dxa" w:w="1728"/>
          </w:tcPr>
          <w:p>
            <w:r>
              <w:t>Qualifications Required</w:t>
            </w:r>
          </w:p>
        </w:tc>
        <w:tc>
          <w:tcPr>
            <w:tcW w:type="dxa" w:w="1728"/>
          </w:tcPr>
          <w:p>
            <w:r>
              <w:t>Template Approved By</w:t>
            </w:r>
          </w:p>
        </w:tc>
        <w:tc>
          <w:tcPr>
            <w:tcW w:type="dxa" w:w="1728"/>
          </w:tcPr>
          <w:p>
            <w:r>
              <w:t>Approval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Staff Nurse</w:t>
            </w:r>
          </w:p>
        </w:tc>
        <w:tc>
          <w:tcPr>
            <w:tcW w:type="dxa" w:w="1728"/>
            <w:shd w:val="clear" w:color="auto" w:fill="FFF2CC"/>
          </w:tcPr>
          <w:p>
            <w:r>
              <w:t>Nursing Superintendent</w:t>
            </w:r>
          </w:p>
        </w:tc>
        <w:tc>
          <w:tcPr>
            <w:tcW w:type="dxa" w:w="1728"/>
            <w:shd w:val="clear" w:color="auto" w:fill="FFF2CC"/>
          </w:tcPr>
          <w:p>
            <w:r>
              <w:t>GNM / B.Sc. Nursing, registered with State Nursing Council</w:t>
            </w:r>
          </w:p>
        </w:tc>
        <w:tc>
          <w:tcPr>
            <w:tcW w:type="dxa" w:w="1728"/>
            <w:shd w:val="clear" w:color="auto" w:fill="FFF2CC"/>
          </w:tcPr>
          <w:p>
            <w:r>
              <w:t>Medical Superintendent</w:t>
            </w:r>
          </w:p>
        </w:tc>
        <w:tc>
          <w:tcPr>
            <w:tcW w:type="dxa" w:w="1728"/>
            <w:shd w:val="clear" w:color="auto" w:fill="FFF2CC"/>
          </w:tcPr>
          <w:p>
            <w:r>
              <w:t>05-Jan-2026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so.org/standard/88464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