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HRM.1.e — Reporting relationships, job specification and job description are defined and documented for every staff category.</w:t>
      </w:r>
    </w:p>
    <w:p>
      <w:r>
        <w:t>HRM.1 Record 06 — Job description refusal and reporting-line change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/ Role: Who declined to sign, or whose reporting line changed.</w:t>
      </w:r>
    </w:p>
    <w:p>
      <w:pPr>
        <w:pStyle w:val="ListParagraph"/>
      </w:pPr>
      <w:r>
        <w:t>Event Type: Refusal to sign, or reporting-line change.</w:t>
      </w:r>
    </w:p>
    <w:p>
      <w:pPr>
        <w:pStyle w:val="ListParagraph"/>
      </w:pPr>
      <w:r>
        <w:t>Date / Reason: When it happened and the stated reason.</w:t>
      </w:r>
    </w:p>
    <w:p>
      <w:pPr>
        <w:pStyle w:val="ListParagraph"/>
      </w:pPr>
      <w:r>
        <w:t>Escalated To / Date: Who it was escalated to (HR In-Charge, Medical Superintendent) and when.</w:t>
      </w:r>
    </w:p>
    <w:p>
      <w:pPr>
        <w:pStyle w:val="ListParagraph"/>
      </w:pPr>
      <w:r>
        <w:t>Other Job Descriptions Affected (If Reporting-Line Change): Every other role that named the changed reporting line, and whether each was reissued.</w:t>
      </w:r>
    </w:p>
    <w:p>
      <w:pPr>
        <w:pStyle w:val="ListParagraph"/>
      </w:pPr>
      <w:r>
        <w:t>Resolution / Closure Date: How the matter was resolved and when it was closed.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refusal to sign a job description and every reporting-line change, through to how it was resolved and which other job descriptions were reissued as a result.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opens this entry the day either event occurs. The worked example shows a reporting-line change correctly traced to three affected job descriptions, all reissued within a week.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record, a reporting-line change made for one role can silently leave several other job descriptions describing a reporting line that no longer exists, and a refusal to sign can be quietly forgotten rather than resolved — this record is what catches both.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/ Role</w:t>
            </w:r>
          </w:p>
        </w:tc>
        <w:tc>
          <w:tcPr>
            <w:tcW w:type="dxa" w:w="1440"/>
          </w:tcPr>
          <w:p>
            <w:r>
              <w:t>Event Type</w:t>
            </w:r>
          </w:p>
        </w:tc>
        <w:tc>
          <w:tcPr>
            <w:tcW w:type="dxa" w:w="1440"/>
          </w:tcPr>
          <w:p>
            <w:r>
              <w:t>Date / Reason</w:t>
            </w:r>
          </w:p>
        </w:tc>
        <w:tc>
          <w:tcPr>
            <w:tcW w:type="dxa" w:w="1440"/>
          </w:tcPr>
          <w:p>
            <w:r>
              <w:t>Escalated To / Date</w:t>
            </w:r>
          </w:p>
        </w:tc>
        <w:tc>
          <w:tcPr>
            <w:tcW w:type="dxa" w:w="1440"/>
          </w:tcPr>
          <w:p>
            <w:r>
              <w:t>Other Job Descriptions Affected (If Reporting-Line Change)</w:t>
            </w:r>
          </w:p>
        </w:tc>
        <w:tc>
          <w:tcPr>
            <w:tcW w:type="dxa" w:w="1440"/>
          </w:tcPr>
          <w:p>
            <w:r>
              <w:t>Resolution / Closure Date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Ramesh Kumar, Pharmacy Assistant</w:t>
            </w:r>
          </w:p>
        </w:tc>
        <w:tc>
          <w:tcPr>
            <w:tcW w:type="dxa" w:w="1440"/>
            <w:shd w:val="clear" w:color="auto" w:fill="FFF2CC"/>
          </w:tcPr>
          <w:p>
            <w:r>
              <w:t>Reporting-line change</w:t>
            </w:r>
          </w:p>
        </w:tc>
        <w:tc>
          <w:tcPr>
            <w:tcW w:type="dxa" w:w="1440"/>
            <w:shd w:val="clear" w:color="auto" w:fill="FFF2CC"/>
          </w:tcPr>
          <w:p>
            <w:r>
              <w:t>01-May-2026 — Pharmacy In-Charge role restructured to report to Medical Superintendent instead of Administrator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HR In-Charge, 01-May-2026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3 affected: Pharmacy Assistant, Store Assistant, Pharmacy Clerk — all 3 reissued and re-signed by 10-May-2026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10-May-2026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