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09 — Interim action and retaliation-protection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case this interim action or retaliation report relates to.</w:t>
      </w:r>
    </w:p>
    <w:p>
      <w:pPr>
        <w:pStyle w:val="ListParagraph"/>
      </w:pPr>
      <w:r>
        <w:t>Interim Action Taken / Decided Against: Reassignment, restricted duties, administrative leave, or a decision that none was needed.</w:t>
      </w:r>
    </w:p>
    <w:p>
      <w:pPr>
        <w:pStyle w:val="ListParagraph"/>
      </w:pPr>
      <w:r>
        <w:t>Decided By / Date: The Medical Superintendent's decision and date.</w:t>
      </w:r>
    </w:p>
    <w:p>
      <w:pPr>
        <w:pStyle w:val="ListParagraph"/>
      </w:pPr>
      <w:r>
        <w:t>Reviewed on Timeline Extension (Y/N): Whether interim action was reviewed if the case ran past its original deadline.</w:t>
      </w:r>
    </w:p>
    <w:p>
      <w:pPr>
        <w:pStyle w:val="ListParagraph"/>
      </w:pPr>
      <w:r>
        <w:t>Retaliation Reported (Y/N, Details): Whether the complainant reported retaliation during the case, and what was done.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the interim-action decision for every serious matter and any report of retaliation against a complainant, separately from the main case outcome.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the interim-action decision at the point a serious matter is logged. The worked example shows a staff member reassigned pending investigation, with no retaliation reported.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serious allegation left unaddressed in the person's normal role while an investigation runs, or a complainant who faces retaliation with nowhere that gets recorded, both defeat the purpose of having a disciplinary procedure at all — this record is the evidence both risks were actively managed.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Interim Action Taken / Decided Against</w:t>
            </w:r>
          </w:p>
        </w:tc>
        <w:tc>
          <w:tcPr>
            <w:tcW w:type="dxa" w:w="1728"/>
          </w:tcPr>
          <w:p>
            <w:r>
              <w:t>Decided By / Date</w:t>
            </w:r>
          </w:p>
        </w:tc>
        <w:tc>
          <w:tcPr>
            <w:tcW w:type="dxa" w:w="1728"/>
          </w:tcPr>
          <w:p>
            <w:r>
              <w:t>Reviewed on Timeline Extension (Y/N)</w:t>
            </w:r>
          </w:p>
        </w:tc>
        <w:tc>
          <w:tcPr>
            <w:tcW w:type="dxa" w:w="1728"/>
          </w:tcPr>
          <w:p>
            <w:r>
              <w:t>Retaliation Reported (Y/N, Details)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DISC-2026-003</w:t>
            </w:r>
          </w:p>
        </w:tc>
        <w:tc>
          <w:tcPr>
            <w:tcW w:type="dxa" w:w="1728"/>
            <w:shd w:val="clear" w:color="auto" w:fill="FFF2CC"/>
          </w:tcPr>
          <w:p>
            <w:r>
              <w:t>Reassigned to a ward with direct supervision pending investigation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14-Feb-2026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 — case closed within original timeline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