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HRM.1.i — Disciplinary and grievance handling is carried out as per the documented procedure.</w:t>
      </w:r>
    </w:p>
    <w:p>
      <w:r>
        <w:t>HRM.1 Record 10 — Investigation timeline-breach escalation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The case approaching or past its stated deadline.</w:t>
      </w:r>
    </w:p>
    <w:p>
      <w:pPr>
        <w:pStyle w:val="ListParagraph"/>
      </w:pPr>
      <w:r>
        <w:t>Original Deadline: The timeline stated when the case was opened.</w:t>
      </w:r>
    </w:p>
    <w:p>
      <w:pPr>
        <w:pStyle w:val="ListParagraph"/>
      </w:pPr>
      <w:r>
        <w:t>Escalated To / Date: The Medical Superintendent, and when, before the deadline lapsed.</w:t>
      </w:r>
    </w:p>
    <w:p>
      <w:pPr>
        <w:pStyle w:val="ListParagraph"/>
      </w:pPr>
      <w:r>
        <w:t>Decision: Documented extension with a new deadline, or immediate conclusion on available evidence.</w:t>
      </w:r>
    </w:p>
    <w:p>
      <w:pPr>
        <w:pStyle w:val="ListParagraph"/>
      </w:pPr>
      <w:r>
        <w:t>New Deadline (If Extended): The revised deadline, if one was granted.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p>
      <w:pPr>
        <w:pStyle w:val="ListParagraph"/>
        <w:spacing w:after="200" w:before="40"/>
      </w:pPr>
      <w:r>
        <w:t xml:space="preserve">Government of India. (2013). </w:t>
      </w:r>
      <w:hyperlink r:id="rId10">
        <w:r>
          <w:rPr>
            <w:color w:val="0563C1"/>
            <w:u w:val="single"/>
          </w:rPr>
          <w:t>The Sexual Harassment of Women at Workplace (Prevention, Prohibition and Redressal) Act, 2013</w:t>
        </w:r>
      </w:hyperlink>
      <w:r>
        <w:t>, Section 11(4). Statutory precedent for a bounded, enforced investigation deadline in Indian workplace law; not a claim that the statute itself governs every case this register tracks.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case that was escalated for breaching its stated investigation timeline, and whether it received a documented extension or was concluded immediately.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HR In-Charge escalates this before a deadline lapses. The worked example shows a grievance case granted a short documented extension due to witness unavailability.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stated investigation timeline that is allowed to silently slip, with no one above the investigator ever told, is the same as having no timeline at all — this record is what makes the deadline actually enforceable.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Original Deadline</w:t>
            </w:r>
          </w:p>
        </w:tc>
        <w:tc>
          <w:tcPr>
            <w:tcW w:type="dxa" w:w="1728"/>
          </w:tcPr>
          <w:p>
            <w:r>
              <w:t>Escalated To / Date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New Deadline (If Extended)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GRV-2026-011</w:t>
            </w:r>
          </w:p>
        </w:tc>
        <w:tc>
          <w:tcPr>
            <w:tcW w:type="dxa" w:w="1728"/>
            <w:shd w:val="clear" w:color="auto" w:fill="FFF2CC"/>
          </w:tcPr>
          <w:p>
            <w:r>
              <w:t>14 days (by 20-Apr-2026)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Superintendent, 18-Apr-2026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Extension approved — key witness on leave</w:t>
            </w:r>
          </w:p>
        </w:tc>
        <w:tc>
          <w:tcPr>
            <w:tcW w:type="dxa" w:w="1728"/>
            <w:shd w:val="clear" w:color="auto" w:fill="FFF2CC"/>
          </w:tcPr>
          <w:p>
            <w:r>
              <w:t>27-Apr-2026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cte.gov.in/Website/PDF/A2013-1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