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HRM.2.b — Written guidance governs training and development policy for the staff through an on-going programme for professional training and development of the staff.</w:t>
      </w:r>
    </w:p>
    <w:p>
      <w:r>
        <w:t>HRM.2 Record 02 — Annual training calendar and policy review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Training Topic: The topic scheduled.</w:t>
      </w:r>
    </w:p>
    <w:p>
      <w:pPr>
        <w:pStyle w:val="ListParagraph"/>
      </w:pPr>
      <w:r>
        <w:t>Target Group: Which staff category it is for.</w:t>
      </w:r>
    </w:p>
    <w:p>
      <w:pPr>
        <w:pStyle w:val="ListParagraph"/>
      </w:pPr>
      <w:r>
        <w:t>Trainer / Date / Venue: Who delivers it, when, and where.</w:t>
      </w:r>
    </w:p>
    <w:p>
      <w:pPr>
        <w:pStyle w:val="ListParagraph"/>
      </w:pPr>
      <w:r>
        <w:t>Policy Reviewed This Cycle (Y/N): Whether the training and development policy was reviewed this year.</w:t>
      </w:r>
    </w:p>
    <w:p>
      <w:pPr>
        <w:pStyle w:val="ListParagraph"/>
      </w:pPr>
      <w:r>
        <w:t>Approved By / Date: The Medical Superintendent's approval and date.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published annual training calendar, together with confirmation the policy itself was reviewed on schedule — the evidence training is run as a planned programme, not improvised.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Training Coordinator publishes this calendar at the start of the year and updates it as sessions are confirmed. The worked example shows a scheduled hand-hygiene refresher alongside the year's policy review.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training programme with no published calendar and no reviewed policy cannot be shown to be an ongoing programme at all — this record is what makes the programme something staff can actually plan around.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Training Topic</w:t>
            </w:r>
          </w:p>
        </w:tc>
        <w:tc>
          <w:tcPr>
            <w:tcW w:type="dxa" w:w="1728"/>
          </w:tcPr>
          <w:p>
            <w:r>
              <w:t>Target Group</w:t>
            </w:r>
          </w:p>
        </w:tc>
        <w:tc>
          <w:tcPr>
            <w:tcW w:type="dxa" w:w="1728"/>
          </w:tcPr>
          <w:p>
            <w:r>
              <w:t>Trainer / Date / Venue</w:t>
            </w:r>
          </w:p>
        </w:tc>
        <w:tc>
          <w:tcPr>
            <w:tcW w:type="dxa" w:w="1728"/>
          </w:tcPr>
          <w:p>
            <w:r>
              <w:t>Policy Reviewed This Cycle (Y/N)</w:t>
            </w:r>
          </w:p>
        </w:tc>
        <w:tc>
          <w:tcPr>
            <w:tcW w:type="dxa" w:w="1728"/>
          </w:tcPr>
          <w:p>
            <w:r>
              <w:t>Approved By /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Hand hygiene refresher</w:t>
            </w:r>
          </w:p>
        </w:tc>
        <w:tc>
          <w:tcPr>
            <w:tcW w:type="dxa" w:w="1728"/>
            <w:shd w:val="clear" w:color="auto" w:fill="FFF2CC"/>
          </w:tcPr>
          <w:p>
            <w:r>
              <w:t>All clinical and nursing staff</w:t>
            </w:r>
          </w:p>
        </w:tc>
        <w:tc>
          <w:tcPr>
            <w:tcW w:type="dxa" w:w="1728"/>
            <w:shd w:val="clear" w:color="auto" w:fill="FFF2CC"/>
          </w:tcPr>
          <w:p>
            <w:r>
              <w:t>Infection Control Nurse, 15-Jun-2026, Training Room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reviewed 05-Jan-2026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Medical Superintendent, 05-Jan-2026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