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HRM.2.c — Staff are appropriately trained based on their specific job description.</w:t>
      </w:r>
    </w:p>
    <w:p>
      <w:r>
        <w:t>HRM.2 Record 03 — Job-description training matrix and gap tracker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role/category from the job description template.</w:t>
      </w:r>
    </w:p>
    <w:p>
      <w:pPr>
        <w:pStyle w:val="ListParagraph"/>
      </w:pPr>
      <w:r>
        <w:t>Mandatory Competencies (From Job Description): The competencies this role's job description requires.</w:t>
      </w:r>
    </w:p>
    <w:p>
      <w:pPr>
        <w:pStyle w:val="ListParagraph"/>
      </w:pPr>
      <w:r>
        <w:t>Training Programme Mapped: Which training delivers each competency.</w:t>
      </w:r>
    </w:p>
    <w:p>
      <w:pPr>
        <w:pStyle w:val="ListParagraph"/>
      </w:pPr>
      <w:r>
        <w:t>Completion Status: Completed, scheduled, or gap identified.</w:t>
      </w:r>
    </w:p>
    <w:p>
      <w:pPr>
        <w:pStyle w:val="ListParagraph"/>
      </w:pPr>
      <w:r>
        <w:t>Quarterly Compliance Confirmed By Department Head (Date): Confirming the department head checked this.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maps every staff category's job description to the specific training it requires, and tracks whether that training was actually completed — not a generic session unrelated to the role.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updates this matrix before each training cycle and schedules any gap found. The worked example shows a lab technician's job-description competencies mapped and confirmed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training record that cannot be traced back to the specific job description it is meant to support is really just a generic attendance sheet — this record is what proves training was actually role-specific.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Mandatory Competencies (From Job Description)</w:t>
            </w:r>
          </w:p>
        </w:tc>
        <w:tc>
          <w:tcPr>
            <w:tcW w:type="dxa" w:w="1728"/>
          </w:tcPr>
          <w:p>
            <w:r>
              <w:t>Training Programme Mapped</w:t>
            </w:r>
          </w:p>
        </w:tc>
        <w:tc>
          <w:tcPr>
            <w:tcW w:type="dxa" w:w="1728"/>
          </w:tcPr>
          <w:p>
            <w:r>
              <w:t>Completion Status</w:t>
            </w:r>
          </w:p>
        </w:tc>
        <w:tc>
          <w:tcPr>
            <w:tcW w:type="dxa" w:w="1728"/>
          </w:tcPr>
          <w:p>
            <w:r>
              <w:t>Quarterly Compliance Confirmed By Department Head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Lab Technician</w:t>
            </w:r>
          </w:p>
        </w:tc>
        <w:tc>
          <w:tcPr>
            <w:tcW w:type="dxa" w:w="1728"/>
            <w:shd w:val="clear" w:color="auto" w:fill="FFF2CC"/>
          </w:tcPr>
          <w:p>
            <w:r>
              <w:t>Specimen handling, biomedical waste segregation, critical-result escalation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AAC.4 specimen-handling induction module; biomedical waste SOP training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Completed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Lab In-Charge, 10-Apr-2026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