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Credentialing and Privileging of Para-Clinical Professionals Permitted to Provide Patient Care Without Supervision</w:t>
      </w:r>
    </w:p>
    <w:p>
      <w:r>
        <w:t>«Hospital Name» — Supports HRM.9.a, HRM.9.b, HRM.9.c, HRM.9.d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identifies, verifies, privileges and keeps track of every pharmacist, lab technician, radiographer, physiotherapist and other allied health professional permitted to provide unsupervised care. If you're new to this SOP: stop-work authority here needs no prior approval — if you cannot confirm a professional's credentialing and privileging, you do not let them provide unsupervised care, full stop, and you report it the same shift.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HR Manager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identifies which para-clinical professionals — pharmacists, laboratory technicians, radiographers, physiotherapists and other allied health staff — are permitted to provide patient care or patient-facing services without supervision, verifies and documents their education, registration, training and experience, grants privileges matched to those credentials, and makes sure both the professional and the department know what services they are actually authorised to provide.</w:t>
      </w:r>
    </w:p>
    <w:p>
      <w:pPr>
        <w:pStyle w:val="Heading1"/>
      </w:pPr>
      <w:r>
        <w:t>2. Scope</w:t>
      </w:r>
    </w:p>
    <w:p>
      <w:r>
        <w:t>This SOP applies to every para-clinical professional at «Hospital Name» who provides patient care or patient-facing services without supervision: pharmacists, laboratory technicians, radiographers, physiotherapists, dieticians, respiratory therapists and other allied health staff whose role requires independent practice authority. It covers HRM.9.a–d. It does not cover medical credentialing (HRM.7), nursing credentialing (HRM.8), the personal file (HRM.6), or department-specific technical SOPs.</w:t>
      </w:r>
    </w:p>
    <w:p>
      <w:pPr>
        <w:pStyle w:val="Heading1"/>
      </w:pPr>
      <w:r>
        <w:t>3. Responsibility</w:t>
      </w:r>
    </w:p>
    <w:p>
      <w:r>
        <w:rPr>
          <w:b/>
        </w:rPr>
        <w:t xml:space="preserve">Medical Superintendent: </w:t>
      </w:r>
      <w:r>
        <w:t>chairs the Credentialing Committee and is accountable for the para-clinical privileging register.</w:t>
      </w:r>
    </w:p>
    <w:p>
      <w:r>
        <w:rPr>
          <w:b/>
        </w:rPr>
        <w:t xml:space="preserve">HR Manager: </w:t>
      </w:r>
      <w:r>
        <w:t>collects and verifies credentials by profession, maintains credentialing files and the privileging register, and tracks registration renewal dates to initiate re-credentialing.</w:t>
      </w:r>
    </w:p>
    <w:p>
      <w:r>
        <w:rPr>
          <w:b/>
        </w:rPr>
        <w:t xml:space="preserve">Credentialing Committee: </w:t>
      </w:r>
      <w:r>
        <w:t>reviews every application and grants, restricts or denies para-clinical privileges by written decision.</w:t>
      </w:r>
    </w:p>
    <w:p>
      <w:r>
        <w:rPr>
          <w:b/>
        </w:rPr>
        <w:t xml:space="preserve">Department Heads (Laboratory, Radiology, Pharmacy, Physiotherapy and others): </w:t>
      </w:r>
      <w:r>
        <w:t>confirm privileges match department scope, brief new staff, and maintain unit staff lists.</w:t>
      </w:r>
    </w:p>
    <w:p>
      <w:r>
        <w:rPr>
          <w:b/>
        </w:rPr>
        <w:t xml:space="preserve">Quality Coordinator: </w:t>
      </w:r>
      <w:r>
        <w:t>audits this SOP quarterly and tracks corrective action when credentialing gaps or lapsed registrations recur.</w:t>
      </w:r>
    </w:p>
    <w:p>
      <w:pPr>
        <w:pStyle w:val="Heading1"/>
      </w:pPr>
      <w:r>
        <w:t>4. Procedure</w:t>
      </w:r>
    </w:p>
    <w:p>
      <w:pPr>
        <w:pStyle w:val="Heading2"/>
      </w:pPr>
      <w:r>
        <w:t>4.1 Identify para-clinical professionals permitted for unsupervised care</w:t>
      </w:r>
    </w:p>
    <w:p>
      <w:r>
        <w:rPr>
          <w:b/>
        </w:rPr>
        <w:t xml:space="preserve">Why this step matters: </w:t>
      </w:r>
      <w:r>
        <w:t>A pharmacist, lab technician, radiographer or physiotherapist providing unsupervised, patient-facing care with no entry in any register is practising on assumption, and for a radiographer operating radiation equipment that assumption carries a real licensing risk, not just a documentation gap.</w:t>
      </w:r>
    </w:p>
    <w:p>
      <w:r>
        <w:t>1. The HR Manager, in consultation with relevant department heads, maintains the para-clinical privileging register listing every independently practising professional, with name and employee ID, profession category, statutory registration number and issuing body, qualification, dates of initial and last re-credentialing, and privileges granted.</w:t>
      </w:r>
    </w:p>
    <w:p>
      <w:r>
        <w:t>2. The register is available to department heads, with a current extract displayed in each para-clinical department (laboratory, radiology, pharmacy, physiotherapy). (Record 1)</w:t>
      </w:r>
    </w:p>
    <w:p>
      <w:pPr>
        <w:pStyle w:val="Heading2"/>
      </w:pPr>
      <w:r>
        <w:t>4.2 Verify, document and periodically update credentials by profession</w:t>
      </w:r>
    </w:p>
    <w:p>
      <w:r>
        <w:rPr>
          <w:b/>
        </w:rPr>
        <w:t xml:space="preserve">Why this step matters: </w:t>
      </w:r>
      <w:r>
        <w:t>A pharmacist's registration number that was never checked with the State Pharmacy Council, or a radiographer's AERB authorisation that was never confirmed, are both claims the hospital took on faith — and for dispensing medicine or operating radiation equipment, faith is not a substitute for a verified, current authorisation.</w:t>
      </w:r>
    </w:p>
    <w:p>
      <w:r>
        <w:t>1. At credentialing or privilege renewal, the HR Manager collects and verifies credentials specific to each profession: pharmacy degree/diploma and State Pharmacy Council registration for pharmacists; DMLT/B.Sc. MLT or equivalent and State Medical Faculty or board registration for laboratory technicians; radiography qualification and AERB authorisation for radiographers operating radiation-generating equipment; and BPT/MPT and State Council of Physiotherapy registration for physiotherapists.</w:t>
      </w:r>
    </w:p>
    <w:p>
      <w:r>
        <w:t>2. Verification is documented with the date, the source contacted, and the verifying officer. Registration renewal dates are tracked, and re-verification begins «sixty days» before expiry.</w:t>
      </w:r>
    </w:p>
    <w:p>
      <w:r>
        <w:t>3. Re-credentialing is conducted «every two years» or sooner when scope of practice changes, registration is renewed, or a significant event requires review. (Record 2)</w:t>
      </w:r>
    </w:p>
    <w:p>
      <w:r>
        <w:rPr>
          <w:b/>
          <w:i/>
        </w:rPr>
        <w:t xml:space="preserve">Technical source(s) for these steps: </w:t>
      </w:r>
    </w:p>
    <w:p>
      <w:pPr>
        <w:pStyle w:val="ListParagraph"/>
        <w:spacing w:after="200" w:before="40"/>
      </w:pPr>
      <w:r>
        <w:t xml:space="preserve">Government of India. (1948, amended 2026). </w:t>
      </w:r>
      <w:hyperlink r:id="rId9">
        <w:r>
          <w:rPr>
            <w:color w:val="0563C1"/>
            <w:u w:val="single"/>
          </w:rPr>
          <w:t>The Pharmacy Act, 1948 (Act No. 8 of 1948)</w:t>
        </w:r>
      </w:hyperlink>
      <w:r>
        <w:t>. Section 42 restricts compounding, preparing, mixing or dispensing medicine on prescription to a registered pharmacist. Referenced as the statutory basis for verifying a pharmacist's State Pharmacy Council registration before granting dispensing privileges.</w:t>
      </w:r>
    </w:p>
    <w:p>
      <w:pPr>
        <w:pStyle w:val="ListParagraph"/>
        <w:spacing w:after="200" w:before="40"/>
      </w:pPr>
      <w:r>
        <w:t xml:space="preserve">Department of Atomic Energy, Government of India. (2004). </w:t>
      </w:r>
      <w:hyperlink r:id="rId10">
        <w:r>
          <w:rPr>
            <w:color w:val="0563C1"/>
            <w:u w:val="single"/>
          </w:rPr>
          <w:t>The Atomic Energy (Radiation Protection) Rules, 2004 (G.S.R. 303)</w:t>
        </w:r>
      </w:hyperlink>
      <w:r>
        <w:t>. Rule 3(2) requires radiation-generating equipment to be operated only under a licence's terms; Rule 12(2) requires the licensee to ensure only individuals named in the licence handle the source; Rule 7(2)(e)(ii) conditions the licence on workers having appropriate radiation-safety training. Referenced as the statutory basis for naming and training-verifying a radiographer before granting equipment-operation privileges.</w:t>
      </w:r>
    </w:p>
    <w:p>
      <w:pPr>
        <w:pStyle w:val="Heading2"/>
      </w:pPr>
      <w:r>
        <w:t>4.3 Grant privileges matched to verified credentials</w:t>
      </w:r>
    </w:p>
    <w:p>
      <w:r>
        <w:rPr>
          <w:b/>
        </w:rPr>
        <w:t xml:space="preserve">Why this step matters: </w:t>
      </w:r>
      <w:r>
        <w:t>Allowing a lab technician to run a test panel they were never privileged for, or a radiographer to operate a modality outside their AERB authorisation, is the exact failure this standard exists to prevent — the privilege letter has to say exactly what each professional may do, not leave it to be inferred from their job title.</w:t>
      </w:r>
    </w:p>
    <w:p>
      <w:r>
        <w:t>1. The Credentialing Committee — chaired by the Medical Superintendent with the HR Manager and the relevant department head — reviews each application and grants privileges by written privilege letter stating the tests, procedures, equipment or services the professional may perform independently, patient categories where applicable, any restrictions, and a validity period of maximum «two years».</w:t>
      </w:r>
    </w:p>
    <w:p>
      <w:r>
        <w:t>2. Profession-specific privileges are named explicitly: dispensing categories for a pharmacist; test panels and analyser categories for a laboratory technician; AERB-authorised modalities and equipment for a radiographer; treatment modalities and patient categories for a physiotherapist.</w:t>
      </w:r>
    </w:p>
    <w:p>
      <w:r>
        <w:t>3. Privileges not supported by verified credentials are not granted; a professional whose registration lapses is suspended from the register pending renewal verification. (Record 3)</w:t>
      </w:r>
    </w:p>
    <w:p>
      <w:r>
        <w:rPr>
          <w:b/>
          <w:i/>
        </w:rPr>
        <w:t xml:space="preserve">Technical source(s) for these steps: </w:t>
      </w:r>
    </w:p>
    <w:p>
      <w:pPr>
        <w:pStyle w:val="ListParagraph"/>
        <w:spacing w:after="200" w:before="40"/>
      </w:pPr>
      <w:r>
        <w:t xml:space="preserve">Government of India. (1948, amended 2026). </w:t>
      </w:r>
      <w:hyperlink r:id="rId9">
        <w:r>
          <w:rPr>
            <w:color w:val="0563C1"/>
            <w:u w:val="single"/>
          </w:rPr>
          <w:t>The Pharmacy Act, 1948 (Act No. 8 of 1948)</w:t>
        </w:r>
      </w:hyperlink>
      <w:r>
        <w:t>. Section 42 restricts compounding, preparing, mixing or dispensing medicine on prescription to a registered pharmacist. Referenced as the statutory basis for verifying a pharmacist's State Pharmacy Council registration before granting dispensing privileges.</w:t>
      </w:r>
    </w:p>
    <w:p>
      <w:pPr>
        <w:pStyle w:val="ListParagraph"/>
        <w:spacing w:after="200" w:before="40"/>
      </w:pPr>
      <w:r>
        <w:t xml:space="preserve">Department of Atomic Energy, Government of India. (2004). </w:t>
      </w:r>
      <w:hyperlink r:id="rId10">
        <w:r>
          <w:rPr>
            <w:color w:val="0563C1"/>
            <w:u w:val="single"/>
          </w:rPr>
          <w:t>The Atomic Energy (Radiation Protection) Rules, 2004 (G.S.R. 303)</w:t>
        </w:r>
      </w:hyperlink>
      <w:r>
        <w:t>. Rule 3(2) requires radiation-generating equipment to be operated only under a licence's terms; Rule 12(2) requires the licensee to ensure only individuals named in the licence handle the source; Rule 7(2)(e)(ii) conditions the licence on workers having appropriate radiation-safety training. Referenced as the statutory basis for naming and training-verifying a radiographer before granting equipment-operation privileges.</w:t>
      </w:r>
    </w:p>
    <w:p>
      <w:pPr>
        <w:pStyle w:val="Heading2"/>
      </w:pPr>
      <w:r>
        <w:t>4.4 Make requisite services known to the professional and the department</w:t>
      </w:r>
    </w:p>
    <w:p>
      <w:r>
        <w:rPr>
          <w:b/>
        </w:rPr>
        <w:t xml:space="preserve">Why this step matters: </w:t>
      </w:r>
      <w:r>
        <w:t>A professional who holds a valid privilege letter but was never actually briefed on the department's own quality standards, turnaround times or safety requirements can end up working outside what the department really expects, even while technically privileged.</w:t>
      </w:r>
    </w:p>
    <w:p>
      <w:r>
        <w:t>1. Each privilege letter is cross-referenced to the service directory and the department scope statement; the department head confirms the professional's privileges match the services the department claims to provide.</w:t>
      </w:r>
    </w:p>
    <w:p>
      <w:r>
        <w:t>2. At department induction or when a new professional joins, the department head briefs the person on services, tests, procedures or treatments the department provides and those referred elsewhere, quality standards and turnaround times, safety requirements (radiation safety, biosafety, cytotoxic handling as applicable), and escalation pathways to the treating doctor.</w:t>
      </w:r>
    </w:p>
    <w:p>
      <w:r>
        <w:t>3. The briefing is recorded and filed in the credentialing file; department heads match their unit staff list to the central privileging register «quarterly». (Record 4)</w:t>
      </w:r>
    </w:p>
    <w:p>
      <w:pPr>
        <w:pStyle w:val="Heading1"/>
      </w:pPr>
      <w:r>
        <w:t>5. Stop-Work Authority</w:t>
      </w:r>
    </w:p>
    <w:p>
      <w:r>
        <w:t>Any staff member who cannot confirm that a para-clinical professional has completed credentialing and privileging does not permit that professional to provide unsupervised patient care or patient-facing services — including independent test reporting, radiation exposure, physiotherapy treatment or medication dispensing beyond verified privileges — ensures the service continues under another credentialed professional or under supervised care as clinically appropriate, and reports to the department head or HR Manager immediately, the same shift.</w:t>
        <w:br/>
        <w:br/>
        <w:t>For a professional whose statutory registration or council enrolment has lapsed: the professional is suspended from the privileging register pending verification, is not assigned unsupervised duties until registration is confirmed current, and the Medical Superintendent and the relevant department head are notified the same working day.</w:t>
        <w:br/>
        <w:br/>
        <w:t>No approval is needed to invoke stop-work. Patient safety and statutory registration requirements override convenience.</w:t>
      </w:r>
    </w:p>
    <w:p>
      <w:pPr>
        <w:pStyle w:val="Heading1"/>
      </w:pPr>
      <w:r>
        <w:t>6. Records</w:t>
      </w:r>
    </w:p>
    <w:p>
      <w:r>
        <w:t>This SOP produces and maintains Records 1-4 (see the HRM.9 Records folder).</w:t>
      </w:r>
    </w:p>
    <w:p>
      <w:pPr>
        <w:pStyle w:val="Heading1"/>
      </w:pPr>
      <w:r>
        <w:t>7. Related Documents</w:t>
      </w:r>
    </w:p>
    <w:p>
      <w:pPr>
        <w:pStyle w:val="ListParagraph"/>
      </w:pPr>
      <w:r>
        <w:t>Policy on Credentialing and Privileging of Para-Clinical Professionals (HRM.9) — this SOP operationalises sections 5.1-5.4</w:t>
      </w:r>
    </w:p>
    <w:p>
      <w:pPr>
        <w:pStyle w:val="ListParagraph"/>
      </w:pPr>
      <w:r>
        <w:t>Required Records — HRM.9.a-d (see HRM.9 Records folder)</w:t>
      </w:r>
    </w:p>
    <w:p>
      <w:pPr>
        <w:pStyle w:val="Heading1"/>
      </w:pPr>
      <w:r>
        <w:t>8. Where This SOP's Requirements Come From (Verified Sources)</w:t>
      </w:r>
    </w:p>
    <w:p>
      <w:pPr>
        <w:pStyle w:val="ListParagraph"/>
        <w:spacing w:after="200" w:before="40"/>
      </w:pPr>
      <w:r>
        <w:t xml:space="preserve">National Accreditation Board for Hospitals and Healthcare Providers. (2022). Standards for Small Healthcare Organisations (3rd ed.). </w:t>
      </w:r>
      <w:hyperlink r:id="rId11">
        <w:r>
          <w:rPr>
            <w:color w:val="0563C1"/>
            <w:u w:val="single"/>
          </w:rPr>
          <w:t>NABH SHCO Accreditation Programme page</w:t>
        </w:r>
      </w:hyperlink>
      <w:r>
        <w:t>. Human Resource Management chapter, standard HRM.9.</w:t>
      </w:r>
    </w:p>
    <w:p>
      <w:pPr>
        <w:pStyle w:val="ListParagraph"/>
        <w:spacing w:after="200" w:before="40"/>
      </w:pPr>
      <w:r>
        <w:t xml:space="preserve">Department of Atomic Energy, Government of India. (2004). </w:t>
      </w:r>
      <w:hyperlink r:id="rId10">
        <w:r>
          <w:rPr>
            <w:color w:val="0563C1"/>
            <w:u w:val="single"/>
          </w:rPr>
          <w:t>The Atomic Energy (Radiation Protection) Rules, 2004 (G.S.R. 303)</w:t>
        </w:r>
      </w:hyperlink>
      <w:r>
        <w:t>. Rule 3(2) requires radiation-generating equipment to be operated only under a licence's terms; Rule 12(2) requires the licensee to ensure only individuals named in the licence handle the source; Rule 7(2)(e)(ii) conditions the licence on workers having appropriate radiation-safety training. Referenced as the statutory basis for naming and training-verifying a radiographer before granting equipment-operation privileges.</w:t>
      </w:r>
    </w:p>
    <w:p>
      <w:pPr>
        <w:pStyle w:val="ListParagraph"/>
        <w:spacing w:after="200" w:before="40"/>
      </w:pPr>
      <w:r>
        <w:t xml:space="preserve">Government of India. (1948, amended 2026). </w:t>
      </w:r>
      <w:hyperlink r:id="rId9">
        <w:r>
          <w:rPr>
            <w:color w:val="0563C1"/>
            <w:u w:val="single"/>
          </w:rPr>
          <w:t>The Pharmacy Act, 1948 (Act No. 8 of 1948)</w:t>
        </w:r>
      </w:hyperlink>
      <w:r>
        <w:t>. Section 42 restricts compounding, preparing, mixing or dispensing medicine on prescription to a registered pharmacist. Referenced as the statutory basis for verifying a pharmacist's State Pharmacy Council registration before granting dispensing privileges.</w:t>
      </w:r>
    </w:p>
    <w:p>
      <w:pPr>
        <w:pStyle w:val="Heading1"/>
      </w:pPr>
      <w:r>
        <w:t>9. Review</w:t>
      </w:r>
    </w:p>
    <w:p>
      <w:r>
        <w:t>This SOP is reviewed at least annually by the Quality Coordinator together with the HR Manager, and sooner when statutory registration requirements for any para-clinical profession change, or an uncredentialed or unprivileged professional is found providing unsupervised services.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1364/1/a194808.pdf" TargetMode="External"/><Relationship Id="rId10" Type="http://schemas.openxmlformats.org/officeDocument/2006/relationships/hyperlink" Target="https://mgw3.aerb.gov.in/images/PDF/RPR2004.pdf"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