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ROM.1.a — Those responsible for governance are identified, and their roles and responsibilities are defined and documented.</w:t>
      </w:r>
    </w:p>
    <w:p>
      <w:r>
        <w:t>ROM.1 Record 02 — Governance role vacancy and succession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Role Vacated: The governance role that became vacant.</w:t>
      </w:r>
    </w:p>
    <w:p>
      <w:pPr>
        <w:pStyle w:val="ListParagraph"/>
      </w:pPr>
      <w:r>
        <w:t>Date Vacated / Reason: When and why (resignation, incapacitation, removal).</w:t>
      </w:r>
    </w:p>
    <w:p>
      <w:pPr>
        <w:pStyle w:val="ListParagraph"/>
      </w:pPr>
      <w:r>
        <w:t>Governing Body Notified (Date): When the vacancy was escalated, per this SOP's defined period.</w:t>
      </w:r>
    </w:p>
    <w:p>
      <w:pPr>
        <w:pStyle w:val="ListParagraph"/>
      </w:pPr>
      <w:r>
        <w:t>Interim Arrangement: Who was designated to cover the role, or how responsibilities were reassigned, on an interim basis.</w:t>
      </w:r>
    </w:p>
    <w:p>
      <w:pPr>
        <w:pStyle w:val="ListParagraph"/>
      </w:pPr>
      <w:r>
        <w:t>Permanent Appointment (Date, Name): When and to whom the role was permanently filled, closing the interim period.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governance-role vacancy from the moment it occurs through to permanent appointment, proving the organisation never left a governance role silently unfilled.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Medical Superintendent opens an entry the day a vacancy is known and closes it once a permanent appointment is made. The worked example shows a trustee resignation covered by an interim arrangement within two days.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governance register that only ever shows roles as filled says nothing about what happens in the gap after someone leaves — this record is the proof that gap is actively managed, not just eventually closed.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Role Vacated</w:t>
            </w:r>
          </w:p>
        </w:tc>
        <w:tc>
          <w:tcPr>
            <w:tcW w:type="dxa" w:w="1728"/>
          </w:tcPr>
          <w:p>
            <w:r>
              <w:t>Date Vacated / Reason</w:t>
            </w:r>
          </w:p>
        </w:tc>
        <w:tc>
          <w:tcPr>
            <w:tcW w:type="dxa" w:w="1728"/>
          </w:tcPr>
          <w:p>
            <w:r>
              <w:t>Governing Body Notified (Date)</w:t>
            </w:r>
          </w:p>
        </w:tc>
        <w:tc>
          <w:tcPr>
            <w:tcW w:type="dxa" w:w="1728"/>
          </w:tcPr>
          <w:p>
            <w:r>
              <w:t>Interim Arrangement</w:t>
            </w:r>
          </w:p>
        </w:tc>
        <w:tc>
          <w:tcPr>
            <w:tcW w:type="dxa" w:w="1728"/>
          </w:tcPr>
          <w:p>
            <w:r>
              <w:t>Permanent Appointment (Date, Name)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Trustee, Finance Oversight</w:t>
            </w:r>
          </w:p>
        </w:tc>
        <w:tc>
          <w:tcPr>
            <w:tcW w:type="dxa" w:w="1728"/>
            <w:shd w:val="clear" w:color="auto" w:fill="FFF2CC"/>
          </w:tcPr>
          <w:p>
            <w:r>
              <w:t>10-Jan-2026 — resignation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12-Jan-2026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Responsibilities temporarily assigned to Chairperson</w:t>
            </w:r>
          </w:p>
        </w:tc>
        <w:tc>
          <w:tcPr>
            <w:tcW w:type="dxa" w:w="1728"/>
            <w:shd w:val="clear" w:color="auto" w:fill="FFF2CC"/>
          </w:tcPr>
          <w:p>
            <w:r>
              <w:t>28-Feb-2026 — Mrs. Anjali Desai appointed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