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ROM.1.b — Those responsible for governance lay down the organisation's vision, mission and values and make them public.</w:t>
      </w:r>
    </w:p>
    <w:p>
      <w:r>
        <w:t>ROM.1 Record 03 — Vision, mission and values remedial coaching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Staff Name / Role: The staff member who could not explain the mission at refresher.</w:t>
      </w:r>
    </w:p>
    <w:p>
      <w:pPr>
        <w:pStyle w:val="ListParagraph"/>
      </w:pPr>
      <w:r>
        <w:t>Refresher Date: When the gap was found.</w:t>
      </w:r>
    </w:p>
    <w:p>
      <w:pPr>
        <w:pStyle w:val="ListParagraph"/>
      </w:pPr>
      <w:r>
        <w:t>Coaching Provided (Date, By Whom): When one-to-one coaching happened and who gave it.</w:t>
      </w:r>
    </w:p>
    <w:p>
      <w:pPr>
        <w:pStyle w:val="ListParagraph"/>
      </w:pPr>
      <w:r>
        <w:t>Re-Tested (Date): When the staff member was re-tested.</w:t>
      </w:r>
    </w:p>
    <w:p>
      <w:pPr>
        <w:pStyle w:val="ListParagraph"/>
      </w:pPr>
      <w:r>
        <w:t>Outcome (Pass/Fail): Whether the re-test confirmed understanding.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case where a refresher found a staff member could not explain the mission, through to coaching and a successful re-test.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logs this whenever a refresher finds a gap. The worked example shows a ward attendant coached and passing re-test within a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refresher that finds staff cannot explain the mission, with no follow-up, just documents the same gap finds itself at the next refresher — this record is what proves the gap was actually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Staff Name / Role</w:t>
            </w:r>
          </w:p>
        </w:tc>
        <w:tc>
          <w:tcPr>
            <w:tcW w:type="dxa" w:w="1728"/>
          </w:tcPr>
          <w:p>
            <w:r>
              <w:t>Refresher Date</w:t>
            </w:r>
          </w:p>
        </w:tc>
        <w:tc>
          <w:tcPr>
            <w:tcW w:type="dxa" w:w="1728"/>
          </w:tcPr>
          <w:p>
            <w:r>
              <w:t>Coaching Provided (Date, By Whom)</w:t>
            </w:r>
          </w:p>
        </w:tc>
        <w:tc>
          <w:tcPr>
            <w:tcW w:type="dxa" w:w="1728"/>
          </w:tcPr>
          <w:p>
            <w:r>
              <w:t>Re-Tested (Date)</w:t>
            </w:r>
          </w:p>
        </w:tc>
        <w:tc>
          <w:tcPr>
            <w:tcW w:type="dxa" w:w="1728"/>
          </w:tcPr>
          <w:p>
            <w:r>
              <w:t>Outcome (Pass/Fail)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Suresh Nair, Ward Attendant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17-Jan-2026, Medical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