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01 — Ethical management framework — approval and annual review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Review Type: Initial approval, or annual review.</w:t>
      </w:r>
    </w:p>
    <w:p>
      <w:pPr>
        <w:pStyle w:val="ListParagraph"/>
      </w:pPr>
      <w:r>
        <w:t>Date: The date of this approval or review.</w:t>
      </w:r>
    </w:p>
    <w:p>
      <w:pPr>
        <w:pStyle w:val="ListParagraph"/>
      </w:pPr>
      <w:r>
        <w:t>Reviewed By: Who in the governing body conducted it.</w:t>
      </w:r>
    </w:p>
    <w:p>
      <w:pPr>
        <w:pStyle w:val="ListParagraph"/>
      </w:pPr>
      <w:r>
        <w:t>Outcome / Changes Made: What, if anything, changed as a result.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  <w:spacing w:after="200" w:before="40"/>
      </w:pPr>
      <w:r>
        <w:t xml:space="preserve">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. Statutory backdrop for practitioner ethical conduct; referenced alongside, not instead of, the NABH governance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the framework's initial approval and each annual review — proof the governing body actually supports and checks it, not just that a document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row at initial approval and at every annual review. The worked example shows the 2026 annual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framework approved once and never revisited cannot be distinguished from a display-only code of ethics — this record is the evidence it is actively governed, not just written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Review Type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>
            <w:r>
              <w:t>Outcome / Changes Made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Annual review</w:t>
            </w:r>
          </w:p>
        </w:tc>
        <w:tc>
          <w:tcPr>
            <w:tcW w:type="dxa" w:w="2160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No changes to framework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