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ROM.3.d — The organisation documents the service standards that are measurable and monitors them.</w:t>
      </w:r>
    </w:p>
    <w:p>
      <w:r>
        <w:t>ROM.3 Record 01 — Service-standard register</w:t>
      </w:r>
    </w:p>
    <w:p/>
    <w:p/>
    <w:p/>
    <w:p>
      <w:r>
        <w:t>How to fill this in — column by column</w:t>
      </w:r>
    </w:p>
    <w:p>
      <w:pPr>
        <w:pStyle w:val="ListParagraph"/>
      </w:pPr>
      <w:r>
        <w:t>Department / Service: The department or service this standard belongs to.</w:t>
      </w:r>
    </w:p>
    <w:p>
      <w:pPr>
        <w:pStyle w:val="ListParagraph"/>
      </w:pPr>
      <w:r>
        <w:t>Indicator: What is being measured.</w:t>
      </w:r>
    </w:p>
    <w:p>
      <w:pPr>
        <w:pStyle w:val="ListParagraph"/>
      </w:pPr>
      <w:r>
        <w:t>Target: The defined target value.</w:t>
      </w:r>
    </w:p>
    <w:p>
      <w:pPr>
        <w:pStyle w:val="ListParagraph"/>
      </w:pPr>
      <w:r>
        <w:t>Data Source: Where the data comes from.</w:t>
      </w:r>
    </w:p>
    <w:p>
      <w:pPr>
        <w:pStyle w:val="ListParagraph"/>
      </w:pPr>
      <w:r>
        <w:t>Monitoring Frequency: How often this is checked.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after="200" w:before="40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Responsibilities of Management chapter, standard ROM.3.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master list of every department or service's measurable standards — one row per standard, with everything needed to actually check it.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Each department head adds or updates their standards here with the Quality Coordinator. The worked example shows an OPD wait-time standard with a clear target and data source.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service standard with no stated target or data source cannot be monitored by anyone, which is the exact gap this requirement exists to close.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Department / Service</w:t>
            </w:r>
          </w:p>
        </w:tc>
        <w:tc>
          <w:tcPr>
            <w:tcW w:type="dxa" w:w="1728"/>
          </w:tcPr>
          <w:p>
            <w:r>
              <w:t>Indicator</w:t>
            </w:r>
          </w:p>
        </w:tc>
        <w:tc>
          <w:tcPr>
            <w:tcW w:type="dxa" w:w="1728"/>
          </w:tcPr>
          <w:p>
            <w:r>
              <w:t>Target</w:t>
            </w:r>
          </w:p>
        </w:tc>
        <w:tc>
          <w:tcPr>
            <w:tcW w:type="dxa" w:w="1728"/>
          </w:tcPr>
          <w:p>
            <w:r>
              <w:t>Data Source</w:t>
            </w:r>
          </w:p>
        </w:tc>
        <w:tc>
          <w:tcPr>
            <w:tcW w:type="dxa" w:w="1728"/>
          </w:tcPr>
          <w:p>
            <w:r>
              <w:t>Monitoring Frequency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Out-Patient Department</w:t>
            </w:r>
          </w:p>
        </w:tc>
        <w:tc>
          <w:tcPr>
            <w:tcW w:type="dxa" w:w="1728"/>
            <w:shd w:val="clear" w:color="auto" w:fill="FFF2CC"/>
          </w:tcPr>
          <w:p>
            <w:r>
              <w:t>Average patient wait time</w:t>
            </w:r>
          </w:p>
        </w:tc>
        <w:tc>
          <w:tcPr>
            <w:tcW w:type="dxa" w:w="1728"/>
            <w:shd w:val="clear" w:color="auto" w:fill="FFF2CC"/>
          </w:tcPr>
          <w:p>
            <w:r>
              <w:t>≤ 30 minutes from registration to consultation</w:t>
            </w:r>
          </w:p>
        </w:tc>
        <w:tc>
          <w:tcPr>
            <w:tcW w:type="dxa" w:w="1728"/>
            <w:shd w:val="clear" w:color="auto" w:fill="FFF2CC"/>
          </w:tcPr>
          <w:p>
            <w:r>
              <w:t>OPD queue log</w:t>
            </w:r>
          </w:p>
        </w:tc>
        <w:tc>
          <w:tcPr>
            <w:tcW w:type="dxa" w:w="1728"/>
            <w:shd w:val="clear" w:color="auto" w:fill="FFF2CC"/>
          </w:tcPr>
          <w:p>
            <w:r>
              <w:t>Quarterly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