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ROM.3.d — The organisation documents the service standards that are measurable and monitors them.</w:t>
      </w:r>
    </w:p>
    <w:p>
      <w:r>
        <w:t>ROM.3 Record 02 — Quarterly service-standard monitoring and CAPA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Indicator: The service standard being monitored, from the register.</w:t>
      </w:r>
    </w:p>
    <w:p>
      <w:pPr>
        <w:pStyle w:val="ListParagraph"/>
      </w:pPr>
      <w:r>
        <w:t>Quarter: The reporting quarter.</w:t>
      </w:r>
    </w:p>
    <w:p>
      <w:pPr>
        <w:pStyle w:val="ListParagraph"/>
      </w:pPr>
      <w:r>
        <w:t>Actual Value: What was actually measured.</w:t>
      </w:r>
    </w:p>
    <w:p>
      <w:pPr>
        <w:pStyle w:val="ListParagraph"/>
      </w:pPr>
      <w:r>
        <w:t>Target Met (Y/N): Whether the target was met.</w:t>
      </w:r>
    </w:p>
    <w:p>
      <w:pPr>
        <w:pStyle w:val="ListParagraph"/>
      </w:pPr>
      <w:r>
        <w:t>RCA / CAPA If Not Met: The root-cause analysis and corrective action, if the target was missed.</w:t>
      </w:r>
    </w:p>
    <w:p>
      <w:pPr>
        <w:pStyle w:val="ListParagraph"/>
      </w:pPr>
      <w:r>
        <w:t>Consecutive Misses (Count): How many consecutive cycles this standard has now missed.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ROM.3.</w:t>
      </w:r>
    </w:p>
    <w:p>
      <w:pPr>
        <w:pStyle w:val="ListParagraph"/>
        <w:spacing w:after="200" w:before="40"/>
      </w:pPr>
      <w:r>
        <w:t xml:space="preserve">International Organization for Standardization. (2026). </w:t>
      </w:r>
      <w:hyperlink r:id="rId10">
        <w:r>
          <w:rPr>
            <w:color w:val="0563C1"/>
            <w:u w:val="single"/>
          </w:rPr>
          <w:t>ISO 9001:2026, Quality management systems — Requirements</w:t>
        </w:r>
      </w:hyperlink>
      <w:r>
        <w:t>, clause 9.1. External benchmark only;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quarterly compilation showing whether each service standard was actually met, with root-cause analysis and corrective action logged for every miss, and a running count of consecutive misses that feeds the escalation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compiles this every quarter from department data. The worked example shows an OPD wait-time miss in Q1 2026 with its RCA and CAPA, its first consecutive miss.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standard that is missed with no analysis or corrective action just repeats — this record is what turns measurement into actual improvement, and the consecutive-miss count is what tells the organisation when routine CAPA has stopped working.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Indicator</w:t>
            </w:r>
          </w:p>
        </w:tc>
        <w:tc>
          <w:tcPr>
            <w:tcW w:type="dxa" w:w="1440"/>
          </w:tcPr>
          <w:p>
            <w:r>
              <w:t>Quarter</w:t>
            </w:r>
          </w:p>
        </w:tc>
        <w:tc>
          <w:tcPr>
            <w:tcW w:type="dxa" w:w="1440"/>
          </w:tcPr>
          <w:p>
            <w:r>
              <w:t>Actual Value</w:t>
            </w:r>
          </w:p>
        </w:tc>
        <w:tc>
          <w:tcPr>
            <w:tcW w:type="dxa" w:w="1440"/>
          </w:tcPr>
          <w:p>
            <w:r>
              <w:t>Target Met (Y/N)</w:t>
            </w:r>
          </w:p>
        </w:tc>
        <w:tc>
          <w:tcPr>
            <w:tcW w:type="dxa" w:w="1440"/>
          </w:tcPr>
          <w:p>
            <w:r>
              <w:t>RCA / CAPA If Not Met</w:t>
            </w:r>
          </w:p>
        </w:tc>
        <w:tc>
          <w:tcPr>
            <w:tcW w:type="dxa" w:w="1440"/>
          </w:tcPr>
          <w:p>
            <w:r>
              <w:t>Consecutive Misses (Count)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OPD average wait time</w:t>
            </w:r>
          </w:p>
        </w:tc>
        <w:tc>
          <w:tcPr>
            <w:tcW w:type="dxa" w:w="1440"/>
            <w:shd w:val="clear" w:color="auto" w:fill="FFF2CC"/>
          </w:tcPr>
          <w:p>
            <w:r>
              <w:t>Q1 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34 minutes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RCA: single registration counter at peak hours; CAPA: second counter opened 9-11am</w:t>
            </w:r>
          </w:p>
        </w:tc>
        <w:tc>
          <w:tcPr>
            <w:tcW w:type="dxa" w:w="1440"/>
            <w:shd w:val="clear" w:color="auto" w:fill="FFF2CC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so.org/standard/884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