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ROM.3.d — The organisation documents the service standards that are measurable and monitors them.</w:t>
      </w:r>
    </w:p>
    <w:p>
      <w:r>
        <w:t>ROM.3 Record 03 — Repeated-miss escalation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Indicator: The service standard escalated.</w:t>
      </w:r>
    </w:p>
    <w:p>
      <w:pPr>
        <w:pStyle w:val="ListParagraph"/>
      </w:pPr>
      <w:r>
        <w:t>Consecutive Misses: How many cycles in a row it was missed before escalation.</w:t>
      </w:r>
    </w:p>
    <w:p>
      <w:pPr>
        <w:pStyle w:val="ListParagraph"/>
      </w:pPr>
      <w:r>
        <w:t>Escalated To / Date: Medical Superintendent and governing body, and when.</w:t>
      </w:r>
    </w:p>
    <w:p>
      <w:pPr>
        <w:pStyle w:val="ListParagraph"/>
      </w:pPr>
      <w:r>
        <w:t>Structural Review Outcome: Whether the target, resourcing, or process was changed.</w:t>
      </w:r>
    </w:p>
    <w:p>
      <w:pPr>
        <w:pStyle w:val="ListParagraph"/>
      </w:pPr>
      <w:r>
        <w:t>New Target Effective Date: If the target itself changed, when the new one takes effect.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after="200" w:before="40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Responsibilities of Management chapter, standard ROM.3.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tracks every service standard that reached three consecutive misses and was escalated for structural review, with the governing body's actual decision.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Quality Coordinator opens this entry the moment a standard hits three consecutive misses. The worked example shows a wait-time standard escalated and resourced with a third registration counter.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Without this record, a standard can be rediscovered as 'missed again' every quarter indefinitely with nobody above department level ever being told — this log is what forces the structural question to actually get asked.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Indicator</w:t>
            </w:r>
          </w:p>
        </w:tc>
        <w:tc>
          <w:tcPr>
            <w:tcW w:type="dxa" w:w="1728"/>
          </w:tcPr>
          <w:p>
            <w:r>
              <w:t>Consecutive Misses</w:t>
            </w:r>
          </w:p>
        </w:tc>
        <w:tc>
          <w:tcPr>
            <w:tcW w:type="dxa" w:w="1728"/>
          </w:tcPr>
          <w:p>
            <w:r>
              <w:t>Escalated To / Date</w:t>
            </w:r>
          </w:p>
        </w:tc>
        <w:tc>
          <w:tcPr>
            <w:tcW w:type="dxa" w:w="1728"/>
          </w:tcPr>
          <w:p>
            <w:r>
              <w:t>Structural Review Outcome</w:t>
            </w:r>
          </w:p>
        </w:tc>
        <w:tc>
          <w:tcPr>
            <w:tcW w:type="dxa" w:w="1728"/>
          </w:tcPr>
          <w:p>
            <w:r>
              <w:t>New Target Effective Date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OPD average wait time</w:t>
            </w:r>
          </w:p>
        </w:tc>
        <w:tc>
          <w:tcPr>
            <w:tcW w:type="dxa" w:w="1728"/>
            <w:shd w:val="clear" w:color="auto" w:fill="FFF2CC"/>
          </w:tcPr>
          <w:p>
            <w:r>
              <w:t>3</w:t>
            </w:r>
          </w:p>
        </w:tc>
        <w:tc>
          <w:tcPr>
            <w:tcW w:type="dxa" w:w="1728"/>
            <w:shd w:val="clear" w:color="auto" w:fill="FFF2CC"/>
          </w:tcPr>
          <w:p>
            <w:r>
              <w:t>Governing Body, 15-Oct-2026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Resourcing increased — third registration counter approved for peak hours</w:t>
            </w:r>
          </w:p>
        </w:tc>
        <w:tc>
          <w:tcPr>
            <w:tcW w:type="dxa" w:w="1728"/>
            <w:shd w:val="clear" w:color="auto" w:fill="FFF2CC"/>
          </w:tcPr>
          <w:p>
            <w:r>
              <w:t>01-Nov-2026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