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ROM.4.c — Management ensures implementation of systems for internal and external reporting of system and process failures.</w:t>
      </w:r>
    </w:p>
    <w:p>
      <w:r>
        <w:t>ROM.4 Record 01 — Failure-reporting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Report Type: Incident, near-miss, or root-cause analysis.</w:t>
      </w:r>
    </w:p>
    <w:p>
      <w:pPr>
        <w:pStyle w:val="ListParagraph"/>
      </w:pPr>
      <w:r>
        <w:t>Reported Anonymously (Y/N): Whether the reporter chose to stay anonymous.</w:t>
      </w:r>
    </w:p>
    <w:p>
      <w:pPr>
        <w:pStyle w:val="ListParagraph"/>
      </w:pPr>
      <w:r>
        <w:t>Date Received: The date the Quality Coordinator logged it.</w:t>
      </w:r>
    </w:p>
    <w:p>
      <w:pPr>
        <w:pStyle w:val="ListParagraph"/>
      </w:pPr>
      <w:r>
        <w:t>Failure Type: A short category label, used for trend analysis (e.g. 'labelling error', 'equipment failure').</w:t>
      </w:r>
    </w:p>
    <w:p>
      <w:pPr>
        <w:pStyle w:val="ListParagraph"/>
      </w:pPr>
      <w:r>
        <w:t>Description: A brief, factual statement of the failure.</w:t>
      </w:r>
    </w:p>
    <w:p>
      <w:pPr>
        <w:pStyle w:val="ListParagraph"/>
      </w:pPr>
      <w:r>
        <w:t>External Report Required (Y/N): Whether a statutory external notification applies.</w:t>
      </w:r>
    </w:p>
    <w:p>
      <w:pPr>
        <w:pStyle w:val="ListParagraph"/>
      </w:pPr>
      <w:r>
        <w:t>External Report Submitted (Date, If Yes): When the external report was submitted, if required.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ROM.4.</w:t>
      </w:r>
    </w:p>
    <w:p>
      <w:pPr>
        <w:pStyle w:val="ListParagraph"/>
        <w:spacing w:after="200" w:before="40"/>
      </w:pPr>
      <w:r>
        <w:t xml:space="preserve">World Health Organization. (2020, September 16). </w:t>
      </w:r>
      <w:hyperlink r:id="rId10">
        <w:r>
          <w:rPr>
            <w:color w:val="0563C1"/>
            <w:u w:val="single"/>
          </w:rPr>
          <w:t>Patient Safety Incident Reporting and Learning Systems: Technical Report and Guidance</w:t>
        </w:r>
      </w:hyperlink>
      <w:r>
        <w:t>. External benchmark only; not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log of every internally reported system or process failure, including anonymous ones, with a check against whether it also needed external notification, and a failure-type category that feeds the trend analysis.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logs every report the day it comes in. The worked example shows a near-miss caught before harm, correctly assessed as not requiring external reporting.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register, management cannot show that a reporting system exists and is actually used — an unused reporting system is indistinguishable from no system at 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Report Type</w:t>
            </w:r>
          </w:p>
        </w:tc>
        <w:tc>
          <w:tcPr>
            <w:tcW w:type="dxa" w:w="1234"/>
          </w:tcPr>
          <w:p>
            <w:r>
              <w:t>Reported Anonymously (Y/N)</w:t>
            </w:r>
          </w:p>
        </w:tc>
        <w:tc>
          <w:tcPr>
            <w:tcW w:type="dxa" w:w="1234"/>
          </w:tcPr>
          <w:p>
            <w:r>
              <w:t>Date Received</w:t>
            </w:r>
          </w:p>
        </w:tc>
        <w:tc>
          <w:tcPr>
            <w:tcW w:type="dxa" w:w="1234"/>
          </w:tcPr>
          <w:p>
            <w:r>
              <w:t>Failure Type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External Report Required (Y/N)</w:t>
            </w:r>
          </w:p>
        </w:tc>
        <w:tc>
          <w:tcPr>
            <w:tcW w:type="dxa" w:w="1234"/>
          </w:tcPr>
          <w:p>
            <w:r>
              <w:t>External Report Submitted (Date, If Yes)</w:t>
            </w:r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  <w:tc>
          <w:tcPr>
            <w:tcW w:type="dxa" w:w="1234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234"/>
            <w:shd w:val="clear" w:color="auto" w:fill="FFF2CC"/>
          </w:tcPr>
          <w:p>
            <w:r>
              <w:t>Near-miss</w:t>
            </w:r>
          </w:p>
        </w:tc>
        <w:tc>
          <w:tcPr>
            <w:tcW w:type="dxa" w:w="1234"/>
            <w:shd w:val="clear" w:color="auto" w:fill="FFF2CC"/>
          </w:tcPr>
          <w:p>
            <w:r>
              <w:t>N</w:t>
            </w:r>
          </w:p>
        </w:tc>
        <w:tc>
          <w:tcPr>
            <w:tcW w:type="dxa" w:w="1234"/>
            <w:shd w:val="clear" w:color="auto" w:fill="FFF2CC"/>
          </w:tcPr>
          <w:p>
            <w:r>
              <w:t>11-Mar-2026</w:t>
            </w:r>
          </w:p>
        </w:tc>
        <w:tc>
          <w:tcPr>
            <w:tcW w:type="dxa" w:w="1234"/>
            <w:shd w:val="clear" w:color="auto" w:fill="FFF2CC"/>
          </w:tcPr>
          <w:p>
            <w:r>
              <w:t>Labelling error</w:t>
            </w:r>
          </w:p>
        </w:tc>
        <w:tc>
          <w:tcPr>
            <w:tcW w:type="dxa" w:w="1234"/>
            <w:shd w:val="clear" w:color="auto" w:fill="FFF2CC"/>
          </w:tcPr>
          <w:p>
            <w:r>
              <w:t>Wrong-patient label generated at registration, caught before sample draw</w:t>
            </w:r>
          </w:p>
        </w:tc>
        <w:tc>
          <w:tcPr>
            <w:tcW w:type="dxa" w:w="1234"/>
            <w:shd w:val="clear" w:color="auto" w:fill="FFF2CC"/>
          </w:tcPr>
          <w:p>
            <w:r>
              <w:t>N</w:t>
            </w:r>
          </w:p>
        </w:tc>
        <w:tc>
          <w:tcPr>
            <w:tcW w:type="dxa" w:w="1234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rPr>
          <w:cantSplit/>
        </w:trP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iris.who.int/server/api/core/bitstreams/49947589-0a06-4708-8cc9-379bc8d2f9f2/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