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COP.6.d — Quality-assurance programme for intensive and high-dependency care</w:t>
      </w:r>
    </w:p>
    <w:p>
      <w:r>
        <w:t>COP.6 Record 4 — ICU/HDU quality-assurance indicator and review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Period: Month/quarter reviewed.</w:t>
      </w:r>
    </w:p>
    <w:p>
      <w:pPr>
        <w:pStyle w:val="ListParagraph"/>
      </w:pPr>
      <w:r>
        <w:t>Indicator: e.g., unplanned readmission rate, discharge against criteria, end-of-life documentation defects.</w:t>
      </w:r>
    </w:p>
    <w:p>
      <w:pPr>
        <w:pStyle w:val="ListParagraph"/>
      </w:pPr>
      <w:r>
        <w:t>Result: The measured value.</w:t>
      </w:r>
    </w:p>
    <w:p>
      <w:pPr>
        <w:pStyle w:val="ListParagraph"/>
      </w:pPr>
      <w:r>
        <w:t>Reviewed By / Forum: Who reviewed it.</w:t>
      </w:r>
    </w:p>
    <w:p>
      <w:pPr>
        <w:pStyle w:val="ListParagraph"/>
      </w:pPr>
      <w:r>
        <w:t>Action Taken (if any): Corrective/preventive action, if needed.</w:t>
      </w:r>
    </w:p>
    <w:p>
      <w:pPr>
        <w:pStyle w:val="ListParagraph"/>
      </w:pPr>
      <w:r>
        <w:t>Closed? (Y/N, date): Whether the action was completed.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unit's quality programme actually has an owner and a forum that reviews findings -- not just a dashboard nobody looks 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An unplanned readmission is flagged, reviewed by the committee the same month, and the finding (no systemic cause) is recorded here rather than simply logged and forgotten.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implement a quality-assurance programme for intensive and high-dependency care -- an Achievement,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Indicator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Reviewed By / Forum</w:t>
            </w:r>
          </w:p>
        </w:tc>
        <w:tc>
          <w:tcPr>
            <w:tcW w:type="dxa" w:w="1440"/>
          </w:tcPr>
          <w:p>
            <w:r>
              <w:t>Action Taken (if any)</w:t>
            </w:r>
          </w:p>
        </w:tc>
        <w:tc>
          <w:tcPr>
            <w:tcW w:type="dxa" w:w="1440"/>
          </w:tcPr>
          <w:p>
            <w:r>
              <w:t>Closed? (Y/N, 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Mar 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Unplanned ICU readmission within 48 hours</w:t>
            </w:r>
          </w:p>
        </w:tc>
        <w:tc>
          <w:tcPr>
            <w:tcW w:type="dxa" w:w="1440"/>
            <w:shd w:val="clear" w:color="auto" w:fill="FFF2CC"/>
          </w:tcPr>
          <w:p>
            <w:r>
              <w:t>1 case (3%)</w:t>
            </w:r>
          </w:p>
        </w:tc>
        <w:tc>
          <w:tcPr>
            <w:tcW w:type="dxa" w:w="1440"/>
            <w:shd w:val="clear" w:color="auto" w:fill="FFF2CC"/>
          </w:tcPr>
          <w:p>
            <w:r>
              <w:t>Critical Care Quality Committee</w:t>
            </w:r>
          </w:p>
        </w:tc>
        <w:tc>
          <w:tcPr>
            <w:tcW w:type="dxa" w:w="1440"/>
            <w:shd w:val="clear" w:color="auto" w:fill="FFF2CC"/>
          </w:tcPr>
          <w:p>
            <w:r>
              <w:t>Case reviewed individually; no systemic cause found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20/03/2026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