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COP.6.f — End-of-life care, consistent and legally consonant</w:t>
      </w:r>
    </w:p>
    <w:p>
      <w:r>
        <w:t>COP.6 Record 6 — End-of-life decision and brain-stem death declaration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Decision: Withhold / withdraw life-sustaining treatment / DNAR / brain-stem death declared.</w:t>
      </w:r>
    </w:p>
    <w:p>
      <w:pPr>
        <w:pStyle w:val="ListParagraph"/>
      </w:pPr>
      <w:r>
        <w:t>Advance Directive Exists? (Y/N): Whether an advance directive was identified.</w:t>
      </w:r>
    </w:p>
    <w:p>
      <w:pPr>
        <w:pStyle w:val="ListParagraph"/>
      </w:pPr>
      <w:r>
        <w:t>Decision-Makers / Safeguards Followed: Who decided and what safeguards from the written pathway were applied.</w:t>
      </w:r>
    </w:p>
    <w:p>
      <w:pPr>
        <w:pStyle w:val="ListParagraph"/>
      </w:pPr>
      <w:r>
        <w:t>Brain-Stem Death Board (if applicable): Names/roles of the certifying Board members, if declared.</w:t>
      </w:r>
    </w:p>
    <w:p>
      <w:pPr>
        <w:pStyle w:val="ListParagraph"/>
      </w:pPr>
      <w:r>
        <w:t>Family Counselled? (Y/N, date): Whether the family was counselled as the pathway was applied.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p>
      <w:pPr>
        <w:pStyle w:val="ListParagraph"/>
        <w:spacing w:before="80" w:after="240"/>
        <w:contextualSpacing w:val="0"/>
      </w:pPr>
      <w:r>
        <w:t xml:space="preserve">• Government of India. (1994). </w:t>
      </w:r>
      <w:hyperlink r:id="rId10">
        <w:r>
          <w:rPr>
            <w:color w:val="0563C1"/>
            <w:u w:val="single"/>
          </w:rPr>
          <w:t>The Transplantation of Human Organs and Tissues Act, 1994 (Act No. 42 of 1994), s. 2(d) and s. 3(6)</w:t>
        </w:r>
      </w:hyperlink>
      <w:r>
        <w:t xml:space="preserve"> which define brain-stem death and require its certification by a Board of medical experts (the registered medical practitioner in charge of the hospital, an independent specialist, a neurologist or neurosurgeon, and the treating practitioner) before it may be relied upon, applicable only if brain-stem death declaration forms part of this hospital's end-of-life pathway.</w:t>
      </w:r>
    </w:p>
    <w:p>
      <w:pPr>
        <w:pStyle w:val="ListParagraph"/>
        <w:spacing w:before="80" w:after="240"/>
        <w:contextualSpacing w:val="0"/>
      </w:pPr>
      <w:r>
        <w:t xml:space="preserve">• Supreme Court of India. (2018). </w:t>
      </w:r>
      <w:hyperlink r:id="rId11">
        <w:r>
          <w:rPr>
            <w:color w:val="0563C1"/>
            <w:u w:val="single"/>
          </w:rPr>
          <w:t>Common Cause (A Regd. Society) v Union of India, Writ Petition (Civil) No. 215 of 2005 (decided 9 March 2018, five-judge bench headed by Dipak Misra, C.J.)</w:t>
        </w:r>
      </w:hyperlink>
      <w:r>
        <w:t xml:space="preserve"> which held that the right to die with dignity, including the right to execute an advance medical directive and to have life-sustaining treatment withheld or withdrawn under safeguards, is part of the right to life under Article 21 of the Constitution of India.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an end-of-life decision followed the hospital's written, lawful pathway -- never an unwritten corridor agreement -- and that any brain-stem death declaration was properly certified by a Board, not a single doctor's call.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family agrees, after repeated counselling, to withdraw ventilator support for a patient with no chance of recovery. This record shows the decision followed the written pathway, consistent with the law on withdrawal of life-sustaining treatment.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end-of-life care to be provided consistently and in consonance with legal requirements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Advance Directive Exists? (Y/N)</w:t>
            </w:r>
          </w:p>
        </w:tc>
        <w:tc>
          <w:tcPr>
            <w:tcW w:type="dxa" w:w="1440"/>
          </w:tcPr>
          <w:p>
            <w:r>
              <w:t>Decision-Makers / Safeguards Followed</w:t>
            </w:r>
          </w:p>
        </w:tc>
        <w:tc>
          <w:tcPr>
            <w:tcW w:type="dxa" w:w="1440"/>
          </w:tcPr>
          <w:p>
            <w:r>
              <w:t>Brain-Stem Death Board (if applicable)</w:t>
            </w:r>
          </w:p>
        </w:tc>
        <w:tc>
          <w:tcPr>
            <w:tcW w:type="dxa" w:w="1440"/>
          </w:tcPr>
          <w:p>
            <w:r>
              <w:t>Family Counselled?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UHID-00461</w:t>
            </w:r>
          </w:p>
        </w:tc>
        <w:tc>
          <w:tcPr>
            <w:tcW w:type="dxa" w:w="1440"/>
            <w:shd w:val="clear" w:color="auto" w:fill="FFF2CC"/>
          </w:tcPr>
          <w:p>
            <w:r>
              <w:t>Withdraw life-sustaining treatment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Treating clinician + family discussion per written pathway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12/03/2026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9260/1/thoa_act_1994.pdf" TargetMode="External"/><Relationship Id="rId11" Type="http://schemas.openxmlformats.org/officeDocument/2006/relationships/hyperlink" Target="https://www.scobserver.in/cases/common-cause-euthanasia-and-the-right-to-die-with-dignity-case-backgrou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