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Safety and Quality-Related Staff Training</w:t>
      </w:r>
    </w:p>
    <w:p>
      <w:r>
        <w:t>«Hospital Name» — Supports HRM.6</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trains staff in the organisation's safety programme, in detecting and handling risks in the work environment, in the procedure to follow during an incident, in occupational safety, in the disaster management plan, in handling fire and non-fire emergencies, and in the organisation's quality improvement programme. This policy does not cover recruitment, induction, job-specific clinical training, or performance appraisal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trains staff in the organisation's safety programme, in detecting and handling risks in the work environment, in the procedure to follow during an incident, in occupational safety, in the disaster management plan, in handling fire and non-fire emergencies, and in the organisation's quality improvement programme. This policy does not cover recruitment, induction, job-specific clinical training, or performance appraisal — those are covered in other hospital policies.</w:t>
      </w:r>
    </w:p>
    <w:p>
      <w:pPr>
        <w:pStyle w:val="Heading1"/>
      </w:pPr>
      <w:r>
        <w:t>2. Scope</w:t>
      </w:r>
    </w:p>
    <w:p>
      <w:r>
        <w:t>This policy applies to all staff of «Hospital Name», across departments and categories. Staff working in laboratory, imaging, emergency, intensive care, the blood centre and surgical services receive additional department-specific safety and quality assurance training as described in Section 5.</w:t>
      </w:r>
    </w:p>
    <w:p>
      <w:pPr>
        <w:pStyle w:val="Heading1"/>
      </w:pPr>
      <w:r>
        <w:t>3. Responsibility</w:t>
      </w:r>
    </w:p>
    <w:p>
      <w:r>
        <w:t xml:space="preserve">HR In-Charge / Personnel Officer: owns recruitment, training records, personal files and the day-to-day running of this policy, and keeps the required records current.</w:t>
      </w:r>
    </w:p>
    <w:p>
      <w:r>
        <w:t xml:space="preserve">Medical Superintendent: escalation point for any unresolved gap, and approves the workforce plan, contingency plan and credentialing/privileging decisions.</w:t>
      </w:r>
    </w:p>
    <w:p>
      <w:r>
        <w:t xml:space="preserve">Department Heads / Heads of Service: identify their own department's staffing, training and credentialing needs, and support this policy's records at department level.</w:t>
      </w:r>
    </w:p>
    <w:p>
      <w:r>
        <w:t xml:space="preserve">Quality Coordinator: audits this policy periodically, checks records against the steps below, and flags gaps for corrective action.</w:t>
      </w:r>
    </w:p>
    <w:p>
      <w:pPr>
        <w:pStyle w:val="Heading1"/>
      </w:pPr>
      <w:r>
        <w:t>4. Procedure</w:t>
      </w:r>
    </w:p>
    <w:p>
      <w:pPr>
        <w:pStyle w:val="Heading2"/>
      </w:pPr>
      <w:r>
        <w:t>4.1 Safety programme training</w:t>
      </w:r>
    </w:p>
    <w:p>
      <w:r>
        <w:rPr>
          <w:b/>
          <w:i/>
        </w:rPr>
        <w:t xml:space="preserve">Why this step matters: </w:t>
      </w:r>
      <w:r>
        <w:rPr>
          <w:i/>
        </w:rPr>
        <w:t>Staff who were never actually trained in the hospital's own safety programme can't be expected to follow it, and laboratory/imaging staff need their department-specific version on top. NABH checks this as part of how a genuinely competent, safe workforce is actually built and kept, not just what's written about it.</w:t>
      </w:r>
    </w:p>
    <w:p>
      <w:r>
        <w:t>1. Staff are trained in the organisation's safety programme, including patient safety, through a regular training programme or printed materials — see the technical source below.</w:t>
      </w:r>
    </w:p>
    <w:p>
      <w:r>
        <w:t>2. Staff working in laboratory and imaging services additionally receive training in their own service-specific safety programme.</w:t>
      </w:r>
    </w:p>
    <w:p>
      <w:r>
        <w:t>3. This training record is kept separately from the safety-programme content itself (covered elsewhere) — this policy covers specifically the staff-training layer. (Records 1–3)</w:t>
      </w:r>
    </w:p>
    <w:p>
      <w:r>
        <w:rPr>
          <w:b/>
          <w:i/>
          <w:sz w:val="18"/>
        </w:rPr>
        <w:t xml:space="preserve">Technical source(s) for these steps: </w:t>
      </w:r>
    </w:p>
    <w:p>
      <w:pPr>
        <w:pStyle w:val="ListParagraph"/>
      </w:pPr>
      <w:hyperlink r:id="rId9">
        <w:r>
          <w:rPr>
            <w:color w:val="0563C1"/>
            <w:u w:val="single"/>
          </w:rPr>
          <w:t>World Health Organization. (2011). Patient Safety Curriculum Guide: Multi-professional Edition.</w:t>
        </w:r>
      </w:hyperlink>
    </w:p>
    <w:p>
      <w:pPr>
        <w:pStyle w:val="Heading2"/>
      </w:pPr>
      <w:r>
        <w:t>4.2 Risk detection and handling</w:t>
      </w:r>
    </w:p>
    <w:p>
      <w:r>
        <w:rPr>
          <w:b/>
          <w:i/>
        </w:rPr>
        <w:t xml:space="preserve">Why this step matters: </w:t>
      </w:r>
      <w:r>
        <w:rPr>
          <w:i/>
        </w:rPr>
        <w:t>Staff who can't recognise a physical, chemical, environmental or process risk around them can't act on it before it causes harm — this is why a practical demonstration, not just a lecture, is expected. NABH checks this as part of how a genuinely competent, safe workforce is actually built and kept, not just what's written about it.</w:t>
      </w:r>
    </w:p>
    <w:p>
      <w:r>
        <w:t>1. Staff are trained to detect, handle, minimise and eliminate identified risks across all of the following categories — see the technical source below:</w:t>
      </w:r>
    </w:p>
    <w:p>
      <w:r>
        <w:t xml:space="preserve">    a. Physical — poor lighting, slippery floors, blind corners, exposed wiring.</w:t>
      </w:r>
    </w:p>
    <w:p>
      <w:r>
        <w:t xml:space="preserve">    b. Chemical — mishandling, spills, aerosolisation.</w:t>
      </w:r>
    </w:p>
    <w:p>
      <w:r>
        <w:t xml:space="preserve">    c. Environmental — noise, smoke, dampness, heat.</w:t>
      </w:r>
    </w:p>
    <w:p>
      <w:r>
        <w:t xml:space="preserve">    d. Process-related — needle-stick injury, blood/body-fluid exposure, cytotoxic drugs, soiled linen.</w:t>
      </w:r>
    </w:p>
    <w:p>
      <w:r>
        <w:t>2. Training is hands-on where the risk calls for it — staff can practically demonstrate an action such as managing a blood spill or handling a hazardous material, not just describe it. (Records 4–5)</w:t>
      </w:r>
    </w:p>
    <w:p>
      <w:r>
        <w:rPr>
          <w:b/>
          <w:i/>
          <w:sz w:val="18"/>
        </w:rPr>
        <w:t xml:space="preserve">Technical source(s) for these steps: </w:t>
      </w:r>
    </w:p>
    <w:p>
      <w:pPr>
        <w:pStyle w:val="ListParagraph"/>
      </w:pPr>
      <w:hyperlink r:id="rId10">
        <w:r>
          <w:rPr>
            <w:color w:val="0563C1"/>
            <w:u w:val="single"/>
          </w:rPr>
          <w:t>Centers for Disease Control and Prevention, National Institute for Occupational Safety and Health (NIOSH).</w:t>
        </w:r>
      </w:hyperlink>
    </w:p>
    <w:p>
      <w:pPr>
        <w:pStyle w:val="ListParagraph"/>
      </w:pPr>
      <w:r>
        <w:t>Ministry of Environment, Forest and Climate Change — Bio-Medical Waste Management Rules, 2016 (the applicable Indian regulatory reference alongside CDC/NIOSH/OSHA guidance for occupational safety and waste-handling training content).</w:t>
      </w:r>
    </w:p>
    <w:p>
      <w:pPr>
        <w:pStyle w:val="Heading2"/>
      </w:pPr>
      <w:r>
        <w:t>4.3 Incident procedure awareness</w:t>
      </w:r>
    </w:p>
    <w:p>
      <w:r>
        <w:rPr>
          <w:b/>
          <w:i/>
        </w:rPr>
        <w:t xml:space="preserve">Why this step matters: </w:t>
      </w:r>
      <w:r>
        <w:rPr>
          <w:i/>
        </w:rPr>
        <w:t>Staff who don't know the sequence of steps to follow during an incident waste critical time improvising exactly when speed matters most. NABH checks this as part of how a genuinely competent, safe workforce is actually built and kept, not just what's written about it.</w:t>
      </w:r>
    </w:p>
    <w:p>
      <w:r>
        <w:t>1. Staff are made aware of the exact procedure to follow if an incident occurs, covering what to do first, who to notify, and what to document.</w:t>
      </w:r>
    </w:p>
    <w:p>
      <w:r>
        <w:t>2. Staff are checked for actual understanding — able to describe the sequence of events they will personally undertake if an incident happens on their shift. (Record 6)</w:t>
      </w:r>
    </w:p>
    <w:p>
      <w:r>
        <w:rPr>
          <w:b/>
          <w:i/>
          <w:sz w:val="18"/>
        </w:rPr>
        <w:t xml:space="preserve">Technical source(s) for these steps: </w:t>
      </w:r>
    </w:p>
    <w:p>
      <w:pPr>
        <w:pStyle w:val="ListParagraph"/>
      </w:pPr>
      <w:hyperlink r:id="rId9">
        <w:r>
          <w:rPr>
            <w:color w:val="0563C1"/>
            <w:u w:val="single"/>
          </w:rPr>
          <w:t>World Health Organization. (2011). Patient Safety Curriculum Guide: Multi-professional Edition.</w:t>
        </w:r>
      </w:hyperlink>
    </w:p>
    <w:p>
      <w:pPr>
        <w:pStyle w:val="Heading2"/>
      </w:pPr>
      <w:r>
        <w:t>4.4 Occupational safety training</w:t>
      </w:r>
    </w:p>
    <w:p>
      <w:r>
        <w:rPr>
          <w:b/>
          <w:i/>
        </w:rPr>
        <w:t xml:space="preserve">Why this step matters: </w:t>
      </w:r>
      <w:r>
        <w:rPr>
          <w:i/>
        </w:rPr>
        <w:t>An untrained staff member working in a hazard area — radiation, laser, medical gas, chemotherapy, noise — is exposed to a risk nobody actually warned them about or trained them to avoid. NABH checks this as part of how a genuinely competent, safe workforce is actually built and kept, not just what's written about it.</w:t>
      </w:r>
    </w:p>
    <w:p>
      <w:r>
        <w:t>1. Staff working in an area with an identified occupational hazard are trained specifically for that hazard, including at least the following — see the technical sources below:</w:t>
      </w:r>
    </w:p>
    <w:p>
      <w:r>
        <w:t xml:space="preserve">    a. Needle-stick and blood/body-fluid exposure.</w:t>
      </w:r>
    </w:p>
    <w:p>
      <w:r>
        <w:t xml:space="preserve">    b. Radiation exposure.</w:t>
      </w:r>
    </w:p>
    <w:p>
      <w:r>
        <w:t xml:space="preserve">    c. Laser exposure.</w:t>
      </w:r>
    </w:p>
    <w:p>
      <w:r>
        <w:t xml:space="preserve">    d. Medical-gas exposure.</w:t>
      </w:r>
    </w:p>
    <w:p>
      <w:r>
        <w:t xml:space="preserve">    e. Chemotherapy exposure.</w:t>
      </w:r>
    </w:p>
    <w:p>
      <w:r>
        <w:t xml:space="preserve">    f. Noise in utility areas.</w:t>
      </w:r>
    </w:p>
    <w:p>
      <w:r>
        <w:t>2. Training covers the specific preventive action for each risk, not a single generic occupational-safety talk covering all of them at once.</w:t>
      </w:r>
    </w:p>
    <w:p>
      <w:r>
        <w:t>3. This training record is kept separately from the occupational-exposure practice record itself (covered elsewhere) — this policy covers specifically the staff-training layer. (Records 7–8)</w:t>
      </w:r>
    </w:p>
    <w:p>
      <w:r>
        <w:rPr>
          <w:b/>
          <w:i/>
          <w:sz w:val="18"/>
        </w:rPr>
        <w:t xml:space="preserve">Technical source(s) for these steps: </w:t>
      </w:r>
    </w:p>
    <w:p>
      <w:pPr>
        <w:pStyle w:val="ListParagraph"/>
      </w:pPr>
      <w:hyperlink r:id="rId10">
        <w:r>
          <w:rPr>
            <w:color w:val="0563C1"/>
            <w:u w:val="single"/>
          </w:rPr>
          <w:t>Centers for Disease Control and Prevention, National Institute for Occupational Safety and Health (NIOSH).</w:t>
        </w:r>
      </w:hyperlink>
    </w:p>
    <w:p>
      <w:pPr>
        <w:pStyle w:val="ListParagraph"/>
      </w:pPr>
      <w:r>
        <w:t>Ministry of Environment, Forest and Climate Change — Bio-Medical Waste Management Rules, 2016 (the applicable Indian regulatory reference alongside CDC/NIOSH/OSHA guidance for occupational safety and waste-handling training content).</w:t>
      </w:r>
    </w:p>
    <w:p>
      <w:pPr>
        <w:pStyle w:val="ListParagraph"/>
      </w:pPr>
      <w:hyperlink r:id="rId11">
        <w:r>
          <w:rPr>
            <w:color w:val="0563C1"/>
            <w:u w:val="single"/>
          </w:rPr>
          <w:t>Occupational Safety and Health Administration. Bloodborne Pathogens — Evaluating and Controlling Exposure.</w:t>
        </w:r>
      </w:hyperlink>
    </w:p>
    <w:p>
      <w:r>
        <w:t>Note: OSHA guidance is cited for exposure-control technique only — India has no equivalent standard at this level of detail. The applicable Indian regulatory reference is the Bio-Medical Waste Management Rules, 2016, cited above.</w:t>
      </w:r>
    </w:p>
    <w:p>
      <w:pPr>
        <w:pStyle w:val="Heading2"/>
      </w:pPr>
      <w:r>
        <w:t>4.5 Disaster management plan training</w:t>
      </w:r>
    </w:p>
    <w:p>
      <w:r>
        <w:rPr>
          <w:b/>
          <w:i/>
        </w:rPr>
        <w:t xml:space="preserve">Why this step matters: </w:t>
      </w:r>
      <w:r>
        <w:rPr>
          <w:i/>
        </w:rPr>
        <w:t>A disaster plan nobody was trained on is a document, not a capability, the moment an actual internal or external disaster hits — NABH treats this as CORE. This is a CORE requirement — NABH treats it as non-negotiable, not aspirational.</w:t>
      </w:r>
    </w:p>
    <w:p>
      <w:r>
        <w:t>1. Staff are trained in the organisation's disaster management plan as a whole, including how an internal disaster (for example fire, structural failure, utility loss) and an external disaster (for example a mass-casualty event) are each managed — see the technical source below.</w:t>
      </w:r>
    </w:p>
    <w:p>
      <w:r>
        <w:t>2. Each staff member is trained specifically in their own role in the plan, not just the plan's overall structure. (Record 9)</w:t>
      </w:r>
    </w:p>
    <w:p>
      <w:r>
        <w:rPr>
          <w:b/>
          <w:i/>
          <w:sz w:val="18"/>
        </w:rPr>
        <w:t xml:space="preserve">Technical source(s) for these steps: </w:t>
      </w:r>
    </w:p>
    <w:p>
      <w:pPr>
        <w:pStyle w:val="ListParagraph"/>
      </w:pPr>
      <w:hyperlink r:id="rId12">
        <w:r>
          <w:rPr>
            <w:color w:val="0563C1"/>
            <w:u w:val="single"/>
          </w:rPr>
          <w:t>National Disaster Management Authority, Government of India. National Disaster Management Guidelines: Hospital Safety.</w:t>
        </w:r>
      </w:hyperlink>
    </w:p>
    <w:p>
      <w:pPr>
        <w:pStyle w:val="Heading2"/>
      </w:pPr>
      <w:r>
        <w:t>4.6 Fire and non-fire emergency training</w:t>
      </w:r>
    </w:p>
    <w:p>
      <w:r>
        <w:rPr>
          <w:b/>
          <w:i/>
        </w:rPr>
        <w:t xml:space="preserve">Why this step matters: </w:t>
      </w:r>
      <w:r>
        <w:rPr>
          <w:i/>
        </w:rPr>
        <w:t>Untrained staff during an actual fire is how evacuation delays and injuries happen — NABH treats this as CORE for exactly that reason. This is a CORE requirement — NABH treats it as non-negotiable, not aspirational.</w:t>
      </w:r>
    </w:p>
    <w:p>
      <w:r>
        <w:t>1. Staff are trained on the classes of fire, correct use of fire extinguishers, evacuation plans and fire procedures — see the technical source below.</w:t>
      </w:r>
    </w:p>
    <w:p>
      <w:r>
        <w:t>2. Staff are also trained on the hospital's identified non-fire emergencies (for example a bomb threat, an infant/child abduction, a utility failure) and each staff member's specific role in each one. (Records 10–11)</w:t>
      </w:r>
    </w:p>
    <w:p>
      <w:r>
        <w:rPr>
          <w:b/>
          <w:i/>
          <w:sz w:val="18"/>
        </w:rPr>
        <w:t xml:space="preserve">Technical source(s) for these steps: </w:t>
      </w:r>
    </w:p>
    <w:p>
      <w:pPr>
        <w:pStyle w:val="ListParagraph"/>
      </w:pPr>
      <w:hyperlink r:id="rId13">
        <w:r>
          <w:rPr>
            <w:color w:val="0563C1"/>
            <w:u w:val="single"/>
          </w:rPr>
          <w:t>National Fire Protection Association. NFPA 101 — Life Safety Code.</w:t>
        </w:r>
      </w:hyperlink>
    </w:p>
    <w:p>
      <w:pPr>
        <w:pStyle w:val="ListParagraph"/>
      </w:pPr>
      <w:r>
        <w:t>Bureau of Indian Standards — National Building Code of India 2016, Part 4: Fire and Life Safety (the applicable Indian reference alongside NFPA 101 for life-safety training content).</w:t>
      </w:r>
    </w:p>
    <w:p>
      <w:pPr>
        <w:pStyle w:val="Heading2"/>
      </w:pPr>
      <w:r>
        <w:t>4.7 Quality improvement programme training</w:t>
      </w:r>
    </w:p>
    <w:p>
      <w:r>
        <w:rPr>
          <w:b/>
          <w:i/>
        </w:rPr>
        <w:t xml:space="preserve">Why this step matters: </w:t>
      </w:r>
      <w:r>
        <w:rPr>
          <w:i/>
        </w:rPr>
        <w:t>Staff who don't know their own role in the quality improvement programme can't meaningfully contribute to it, and high-risk departments need their programme-specific version too. NABH checks this as part of how a genuinely competent, safe workforce is actually built and kept, not just what's written about it.</w:t>
      </w:r>
    </w:p>
    <w:p>
      <w:r>
        <w:t>1. Staff are trained on the organisation's quality improvement programme — its structure and their own role in contributing to it.</w:t>
      </w:r>
    </w:p>
    <w:p>
      <w:r>
        <w:t>2. Staff working in laboratory, imaging, emergency, intensive care, the blood centre and surgical services additionally receive training on their own service-specific quality assurance programme. (Records 12–13)</w:t>
      </w:r>
    </w:p>
    <w:p>
      <w:pPr>
        <w:pStyle w:val="Heading1"/>
      </w:pPr>
      <w:r>
        <w:t>5. Records</w:t>
      </w:r>
    </w:p>
    <w:p>
      <w:r>
        <w:t>This SOP produces and maintains Records 1 through 13 (see the HRM.6 Records folder).</w:t>
      </w:r>
    </w:p>
    <w:p>
      <w:pPr>
        <w:pStyle w:val="Heading1"/>
      </w:pPr>
      <w:r>
        <w:t>6. Related Documents</w:t>
      </w:r>
    </w:p>
    <w:p>
      <w:pPr>
        <w:pStyle w:val="ListParagraph"/>
      </w:pPr>
      <w:r>
        <w:t>Policy on Safety and Quality-Related Staff Training (HCO/HRM/POL/06) — this policy</w:t>
      </w:r>
    </w:p>
    <w:p>
      <w:pPr>
        <w:pStyle w:val="ListParagraph"/>
      </w:pPr>
      <w:r>
        <w:t>Required Records — HRM.6 (see HRM.6 Records folder)</w:t>
      </w:r>
    </w:p>
    <w:p>
      <w:pPr>
        <w:pStyle w:val="Heading1"/>
      </w:pPr>
      <w:r>
        <w:t>7. Where This SOP's Requirements Come From (Verified Sources)</w:t>
      </w:r>
    </w:p>
    <w:p>
      <w:pPr>
        <w:pStyle w:val="ListParagraph"/>
      </w:pPr>
      <w:hyperlink r:id="rId14">
        <w:r>
          <w:rPr>
            <w:rStyle w:val="Hyperlink"/>
            <w:i/>
          </w:rPr>
          <w:t>National Accreditation Board for Hospitals and Healthcare Providers. (2025). NABH accreditation standards for hospitals (6th ed.), HRM.6. ISBN 978-81-965264-9-8. https://portal.nabh.co/images/Standards/NABH%20Hospital%20Accreditation%20Standard%206th%20Edition%20January%202025.pdf</w:t>
        </w:r>
      </w:hyperlink>
    </w:p>
    <w:p>
      <w:pPr>
        <w:pStyle w:val="Heading1"/>
      </w:pPr>
      <w:r>
        <w:t>8.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9789241501958" TargetMode="External"/><Relationship Id="rId10" Type="http://schemas.openxmlformats.org/officeDocument/2006/relationships/hyperlink" Target="https://www.cdc.gov/niosh/index.html" TargetMode="External"/><Relationship Id="rId11" Type="http://schemas.openxmlformats.org/officeDocument/2006/relationships/hyperlink" Target="https://www.osha.gov/bloodborne-pathogens/evaluating-controlling-exposure" TargetMode="External"/><Relationship Id="rId12" Type="http://schemas.openxmlformats.org/officeDocument/2006/relationships/hyperlink" Target="https://nidm.gov.in/PDF/pubs/NDMA/18.pdf" TargetMode="External"/><Relationship Id="rId13" Type="http://schemas.openxmlformats.org/officeDocument/2006/relationships/hyperlink" Target="https://www.nfpa.org/product/nfpa-101-life-safety-code/p0101code" TargetMode="External"/><Relationship Id="rId14"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