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COP.2.b — Medico-legal cases and statutory emergency care</w:t>
      </w:r>
    </w:p>
    <w:p>
      <w:r>
        <w:t>COP.2 Record 2 — Medico-legal case (MLC)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 of Arrival: When the patient arrived.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Nature of Case: Assault / RTA / poisoning / burns / other MLC category.</w:t>
      </w:r>
    </w:p>
    <w:p>
      <w:pPr>
        <w:pStyle w:val="ListParagraph"/>
      </w:pPr>
      <w:r>
        <w:t>Treatment Given First? (Y/N): Confirms treatment was never withheld pending documentation.</w:t>
      </w:r>
    </w:p>
    <w:p>
      <w:pPr>
        <w:pStyle w:val="ListParagraph"/>
      </w:pPr>
      <w:r>
        <w:t>Police Informed? (Y/N, Date/Time): Whether and when police intimation was made, where required.</w:t>
      </w:r>
    </w:p>
    <w:p>
      <w:pPr>
        <w:pStyle w:val="ListParagraph"/>
      </w:pPr>
      <w:r>
        <w:t>MLC No. Assigned: The hospital's own MLC serial number.</w:t>
      </w:r>
    </w:p>
    <w:p>
      <w:pPr>
        <w:pStyle w:val="ListParagraph"/>
      </w:pPr>
      <w:r>
        <w:t>Doctor's Signature: Treating doctor who completed the entry.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p>
      <w:pPr>
        <w:pStyle w:val="ListParagraph"/>
        <w:spacing w:before="80" w:after="240"/>
        <w:contextualSpacing w:val="0"/>
      </w:pPr>
      <w:r>
        <w:t xml:space="preserve">• Government of India. (2023). </w:t>
      </w:r>
      <w:hyperlink r:id="rId10">
        <w:r>
          <w:rPr>
            <w:color w:val="0563C1"/>
            <w:u w:val="single"/>
          </w:rPr>
          <w:t>The Bharatiya Nagarik Suraksha Sanhita, 2023 (Act No. 46 of 2023), s. 397</w:t>
        </w:r>
      </w:hyperlink>
      <w:r>
        <w:t xml:space="preserve"> ("Treatment of victims"), the criminal-procedure provision in force from 1 July 2024 governing a hospital's duty to treat and document medico-legal cases, in supersession of the Code of Criminal Procedure, 1973.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The register that proves every medico-legal case was treated first and documented correctly, with police informed only where the law requires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is brought in after a road accident. Treatment starts immediately; the MLC entry and police intimation happen alongside, not instead of, that care.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and Indian law both require emergency treatment regardless of medico-legal status, with proper documentation and intimation handled separately.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Date/Time of Arrival</w:t>
            </w:r>
          </w:p>
        </w:tc>
        <w:tc>
          <w:tcPr>
            <w:tcW w:type="dxa" w:w="1234"/>
          </w:tcPr>
          <w:p>
            <w:r>
              <w:t>Patient Name / UHID</w:t>
            </w:r>
          </w:p>
        </w:tc>
        <w:tc>
          <w:tcPr>
            <w:tcW w:type="dxa" w:w="1234"/>
          </w:tcPr>
          <w:p>
            <w:r>
              <w:t>Nature of Case</w:t>
            </w:r>
          </w:p>
        </w:tc>
        <w:tc>
          <w:tcPr>
            <w:tcW w:type="dxa" w:w="1234"/>
          </w:tcPr>
          <w:p>
            <w:r>
              <w:t>Treatment Given First? (Y/N)</w:t>
            </w:r>
          </w:p>
        </w:tc>
        <w:tc>
          <w:tcPr>
            <w:tcW w:type="dxa" w:w="1234"/>
          </w:tcPr>
          <w:p>
            <w:r>
              <w:t>Police Informed? (Y/N, Date/Time)</w:t>
            </w:r>
          </w:p>
        </w:tc>
        <w:tc>
          <w:tcPr>
            <w:tcW w:type="dxa" w:w="1234"/>
          </w:tcPr>
          <w:p>
            <w:r>
              <w:t>MLC No. Assigned</w:t>
            </w:r>
          </w:p>
        </w:tc>
        <w:tc>
          <w:tcPr>
            <w:tcW w:type="dxa" w:w="1234"/>
          </w:tcPr>
          <w:p>
            <w:r>
              <w:t>Doctor's Signature</w:t>
            </w:r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>
              <w:t>12/03/2026 21:40</w:t>
            </w:r>
          </w:p>
        </w:tc>
        <w:tc>
          <w:tcPr>
            <w:tcW w:type="dxa" w:w="1234"/>
            <w:shd w:val="clear" w:color="auto" w:fill="FFF2CC"/>
          </w:tcPr>
          <w:p>
            <w:r>
              <w:t>«Patient Name» / UHID-00412</w:t>
            </w:r>
          </w:p>
        </w:tc>
        <w:tc>
          <w:tcPr>
            <w:tcW w:type="dxa" w:w="1234"/>
            <w:shd w:val="clear" w:color="auto" w:fill="FFF2CC"/>
          </w:tcPr>
          <w:p>
            <w:r>
              <w:t>RTA with head injury</w:t>
            </w:r>
          </w:p>
        </w:tc>
        <w:tc>
          <w:tcPr>
            <w:tcW w:type="dxa" w:w="1234"/>
            <w:shd w:val="clear" w:color="auto" w:fill="FFF2CC"/>
          </w:tcPr>
          <w:p>
            <w:r>
              <w:t>Y</w:t>
            </w:r>
          </w:p>
        </w:tc>
        <w:tc>
          <w:tcPr>
            <w:tcW w:type="dxa" w:w="1234"/>
            <w:shd w:val="clear" w:color="auto" w:fill="FFF2CC"/>
          </w:tcPr>
          <w:p>
            <w:r>
              <w:t>Y, 22:05</w:t>
            </w:r>
          </w:p>
        </w:tc>
        <w:tc>
          <w:tcPr>
            <w:tcW w:type="dxa" w:w="1234"/>
            <w:shd w:val="clear" w:color="auto" w:fill="FFF2CC"/>
          </w:tcPr>
          <w:p>
            <w:r>
              <w:t>MLC-2026-014</w:t>
            </w:r>
          </w:p>
        </w:tc>
        <w:tc>
          <w:tcPr>
            <w:tcW w:type="dxa" w:w="1234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indiacode.nic.in/bitstream/123456789/20099/3/A2023-4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