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Transfusion Services</w:t>
      </w:r>
    </w:p>
    <w:p>
      <w:pPr>
        <w:spacing w:after="240"/>
        <w:jc w:val="center"/>
      </w:pPr>
      <w:r>
        <w:rPr>
          <w:i/>
          <w:iCs/>
          <w:sz w:val="20"/>
          <w:szCs w:val="20"/>
        </w:rPr>
        <w:t xml:space="preserve">Safe transfusion services governed by applicable laws.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 xml:space="preserve">Boundaries: MOM owns medication management; this policy owns blood and blood-component transfusion. COP.2 owns emergency clinical care; this policy owns emergency blood availability.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spacing w:after="140"/>
      </w:pPr>
      <w:r>
        <w:rPr>
          <w:sz w:val="22"/>
          <w:szCs w:val="22"/>
        </w:rPr>
        <w:t xml:space="preserve">It covers the six elements COP.5.a–f name. It does not cover medication management (MOM) or emergency clinical care (COP.2).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blood and blood-component transfusion as a clinical service.</w:t>
      </w:r>
    </w:p>
    <w:p>
      <w:pPr>
        <w:pStyle w:val="ListParagraph"/>
        <w:numPr>
          <w:ilvl w:val="0"/>
          <w:numId w:val="1"/>
        </w:numPr>
        <w:spacing w:after="60"/>
      </w:pPr>
      <w:r>
        <w:rPr>
          <w:sz w:val="22"/>
          <w:szCs w:val="22"/>
        </w:rPr>
        <w:t xml:space="preserve">COP.2 owns emergency clinical care. This policy owns that blood and blood components are available for emergencies within a defined time frame.</w:t>
      </w:r>
    </w:p>
    <w:p>
      <w:pPr>
        <w:pStyle w:val="ListParagraph"/>
        <w:numPr>
          <w:ilvl w:val="0"/>
          <w:numId w:val="1"/>
        </w:numPr>
        <w:spacing w:after="60"/>
      </w:pPr>
      <w:r>
        <w:rPr>
          <w:sz w:val="22"/>
          <w:szCs w:val="22"/>
        </w:rPr>
        <w:t xml:space="preserve">PRE.3 owns the consent method. This policy owns that informed consent is obtained for transfusion and for donation.</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 xml:space="preserve">Root-cause analysis is required when a transfusion safety event (wrong blood, missed reaction, compatibility failure) occurs or when the same finding recurs within six months.</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COP — Care of Patients (NABH SHCO chapter 5)
DVT — deep vein thrombosis
ICU — intensive care unit
IV — intravenous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 xml:space="preserve">13. Traceability to NABH SHCO 3rd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«COP/POL/05»  |  Controlled document  |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