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HRM.3.b — Staff are provided training in the detection, handling, minimisation and elimination of identified risks within the organisation's environment.</w:t>
      </w:r>
    </w:p>
    <w:p>
      <w:r>
        <w:t>HRM.3 Record 02 — Risk-handling training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Department: The department this training was tailored to.</w:t>
      </w:r>
    </w:p>
    <w:p>
      <w:pPr>
        <w:pStyle w:val="ListParagraph"/>
      </w:pPr>
      <w:r>
        <w:t>Unit-Specific Risks Covered: The actual hazards covered (e.g. medication errors, falls, sharps).</w:t>
      </w:r>
    </w:p>
    <w:p>
      <w:pPr>
        <w:pStyle w:val="ListParagraph"/>
      </w:pPr>
      <w:r>
        <w:t>Employees Trained: Who attended.</w:t>
      </w:r>
    </w:p>
    <w:p>
      <w:pPr>
        <w:pStyle w:val="ListParagraph"/>
      </w:pPr>
      <w:r>
        <w:t>Training Date: When it happened.</w:t>
      </w:r>
    </w:p>
    <w:p>
      <w:pPr>
        <w:pStyle w:val="ListParagraph"/>
      </w:pPr>
      <w:r>
        <w:t>Refreshed Early Due To New Risk (Y/N, Reason): Whether this was an early refresh triggered by a newly identified risk.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proof that risk-handling training was actually tailored to each department's real hazards, not delivered as one generic session for everyone.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department head and Training Coordinator run this training together. The worked example shows pharmacy staff retrained early after a near-miss.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Risk training that ignores what is actually dangerous in a specific department teaches nothing staff can use — this record is what proves the training was unit-specific and responsive to real risks found.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Department</w:t>
            </w:r>
          </w:p>
        </w:tc>
        <w:tc>
          <w:tcPr>
            <w:tcW w:type="dxa" w:w="1728"/>
          </w:tcPr>
          <w:p>
            <w:r>
              <w:t>Unit-Specific Risks Covered</w:t>
            </w:r>
          </w:p>
        </w:tc>
        <w:tc>
          <w:tcPr>
            <w:tcW w:type="dxa" w:w="1728"/>
          </w:tcPr>
          <w:p>
            <w:r>
              <w:t>Employees Trained</w:t>
            </w:r>
          </w:p>
        </w:tc>
        <w:tc>
          <w:tcPr>
            <w:tcW w:type="dxa" w:w="1728"/>
          </w:tcPr>
          <w:p>
            <w:r>
              <w:t>Training Date</w:t>
            </w:r>
          </w:p>
        </w:tc>
        <w:tc>
          <w:tcPr>
            <w:tcW w:type="dxa" w:w="1728"/>
          </w:tcPr>
          <w:p>
            <w:r>
              <w:t>Refreshed Early Due To New Risk (Y/N, Reason)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Pharmacy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Medication-error near-misses, high-alert drug handling</w:t>
            </w:r>
          </w:p>
        </w:tc>
        <w:tc>
          <w:tcPr>
            <w:tcW w:type="dxa" w:w="1728"/>
            <w:shd w:val="clear" w:color="auto" w:fill="FFF2CC"/>
          </w:tcPr>
          <w:p>
            <w:r>
              <w:t>3 pharmacy staff</w:t>
            </w:r>
          </w:p>
        </w:tc>
        <w:tc>
          <w:tcPr>
            <w:tcW w:type="dxa" w:w="1728"/>
            <w:shd w:val="clear" w:color="auto" w:fill="FFF2CC"/>
          </w:tcPr>
          <w:p>
            <w:r>
              <w:t>02-Apr-2026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Y — triggered by a near-miss logged the previous month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