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HRM.3.d — Staff are trained in occupational safety aspects.</w:t>
      </w:r>
    </w:p>
    <w:p>
      <w:r>
        <w:t>HRM.3 Record 04 — Occupational safety training record</w:t>
      </w:r>
    </w:p>
    <w:p/>
    <w:p/>
    <w:p/>
    <w:p>
      <w:r>
        <w:t>How to fill this in — column by column</w:t>
      </w:r>
    </w:p>
    <w:p>
      <w:pPr>
        <w:pStyle w:val="ListParagraph"/>
      </w:pPr>
      <w:r>
        <w:t>Employee Name / Role: The staff member trained.</w:t>
      </w:r>
    </w:p>
    <w:p>
      <w:pPr>
        <w:pStyle w:val="ListParagraph"/>
      </w:pPr>
      <w:r>
        <w:t>Hazard Module(s) Covered: Manual handling, chemical exposure, electrical safety, workplace violence, or infection-control exposure response.</w:t>
      </w:r>
    </w:p>
    <w:p>
      <w:pPr>
        <w:pStyle w:val="ListParagraph"/>
      </w:pPr>
      <w:r>
        <w:t>Role-Specific Hazard Confirmed By Department Head (Y/N): Whether the department head confirmed the right hazards were covered for this role.</w:t>
      </w:r>
    </w:p>
    <w:p>
      <w:pPr>
        <w:pStyle w:val="ListParagraph"/>
      </w:pPr>
      <w:r>
        <w:t>Training Date: When it happened.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HRM.3.</w:t>
      </w:r>
    </w:p>
    <w:p>
      <w:pPr>
        <w:pStyle w:val="ListParagraph"/>
      </w:pPr>
      <w:r>
        <w:t xml:space="preserve">Government of India. (2020). </w:t>
      </w:r>
      <w:hyperlink r:id="rId10">
        <w:r>
          <w:rPr>
            <w:color w:val="0563C1"/>
            <w:u w:val="single"/>
          </w:rPr>
          <w:t>The Occupational Safety, Health and Working Conditions Code, 2020 (Act No. 37 of 2020)</w:t>
        </w:r>
      </w:hyperlink>
      <w:r>
        <w:t>. Section 6(2)(c) requires an employer to provide “information, instruction, training and supervision” as is necessary to ensure employee health and safety at work -- the statutory basis for this step's occupational safety training requirement, referenced as a legal benchmark alongside the NABH requirement, not instead of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proof that occupational safety training was mapped to the actual hazards a role faces, not a single generic safety talk for every staff category.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Training Coordinator logs each module delivered. The worked example shows a maintenance technician trained on the electrical and chemical hazards specific to that role.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Occupational safety training that never mentions the hazards a specific role actually faces leaves that person unprepared for the risk most likely to hurt them — this record proves the mapping happened.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Employee Name / Role</w:t>
            </w:r>
          </w:p>
        </w:tc>
        <w:tc>
          <w:tcPr>
            <w:tcW w:type="dxa" w:w="2160"/>
          </w:tcPr>
          <w:p>
            <w:r>
              <w:t>Hazard Module(s) Covered</w:t>
            </w:r>
          </w:p>
        </w:tc>
        <w:tc>
          <w:tcPr>
            <w:tcW w:type="dxa" w:w="2160"/>
          </w:tcPr>
          <w:p>
            <w:r>
              <w:t>Role-Specific Hazard Confirmed By Department Head (Y/N)</w:t>
            </w:r>
          </w:p>
        </w:tc>
        <w:tc>
          <w:tcPr>
            <w:tcW w:type="dxa" w:w="2160"/>
          </w:tcPr>
          <w:p>
            <w:r>
              <w:t>Training Date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2160"/>
            <w:shd w:val="clear" w:color="auto" w:fill="FFF2CC"/>
          </w:tcPr>
          <w:p>
            <w:r>
              <w:t>Nilesh Patil, Maintenance Technician</w:t>
            </w:r>
          </w:p>
        </w:tc>
        <w:tc>
          <w:tcPr>
            <w:tcW w:type="dxa" w:w="2160"/>
            <w:shd w:val="clear" w:color="auto" w:fill="FFF2CC"/>
          </w:tcPr>
          <w:p>
            <w:r>
              <w:t>Electrical safety, chemical exposure</w:t>
            </w:r>
          </w:p>
        </w:tc>
        <w:tc>
          <w:tcPr>
            <w:tcW w:type="dxa" w:w="2160"/>
            <w:shd w:val="clear" w:color="auto" w:fill="FFF2CC"/>
          </w:tcPr>
          <w:p>
            <w:r>
              <w:t>Y</w:t>
            </w:r>
          </w:p>
        </w:tc>
        <w:tc>
          <w:tcPr>
            <w:tcW w:type="dxa" w:w="2160"/>
            <w:shd w:val="clear" w:color="auto" w:fill="FFF2CC"/>
          </w:tcPr>
          <w:p>
            <w:r>
              <w:t>20-Feb-2026</w:t>
            </w:r>
          </w:p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www.indiacode.nic.in/bitstream/123456789/22041/1/2020-37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