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Internal Referral Between Departments</w:t>
      </w:r>
    </w:p>
    <w:p>
      <w:r>
        <w:t>«Hospital Name» — Supports AAC.10.f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refers a patient to another department or speciality within the organisation, for opinion, co-management, or takeover.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refers a patient to another department or speciality within the organisation, for opinion, co-management, or takeover.</w:t>
      </w:r>
    </w:p>
    <w:p>
      <w:pPr>
        <w:pStyle w:val="Heading1"/>
      </w:pPr>
      <w:r>
        <w:t>2. Scope</w:t>
      </w:r>
    </w:p>
    <w:p>
      <w:r>
        <w:t>Applies to every internal referral between departments or specialities.</w:t>
      </w:r>
    </w:p>
    <w:p>
      <w:pPr>
        <w:pStyle w:val="Heading1"/>
      </w:pPr>
      <w:r>
        <w:t>3. Responsibility</w:t>
      </w:r>
    </w:p>
    <w:p>
      <w:r>
        <w:t xml:space="preserve">Referring Doctor: </w:t>
      </w:r>
      <w:r>
        <w:t>states the reason and urgency grade clearly.</w:t>
      </w:r>
    </w:p>
    <w:p>
      <w:r>
        <w:t xml:space="preserve">Receiving Department: </w:t>
      </w:r>
      <w:r>
        <w:t>responds within the timeframe defined for that urgency grade.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An unclear or ungraded referral can sit in a queue for hours when the patient actually needed an urgent response.</w:t>
      </w:r>
    </w:p>
    <w:p>
      <w:r>
        <w:t>1. State the reason for referral clearly — opinion, co-management, or takeover — in the referral note.</w:t>
      </w:r>
    </w:p>
    <w:p>
      <w:r>
        <w:t>2. Grade the urgency of the referral using the hospital's urgency grades and their response timeframes. [Hospital to define the exact grades and timeframes; a working starting point, consistent with the example already in Record 11, is: Emergency — immediate, same-hour response; Urgent — within 2 hours; Routine — within 24 hours.]</w:t>
      </w:r>
    </w:p>
    <w:p>
      <w:r>
        <w:t>3. The receiving department responds within the timeframe for the grade assigned, and logs the actual response time in the Internal Referral Note &amp; Response-Time Log (Record 11).</w:t>
      </w:r>
    </w:p>
    <w:p>
      <w:r>
        <w:t>4. Only a department or specialist named in the written referral guidance (Record 10) as able to accept that type of referral may take it on.</w:t>
      </w:r>
    </w:p>
    <w:p>
      <w:r>
        <w:t>5. If the receiving department cannot respond within the graded timeframe, it informs the referring doctor immediately and escalates per the hospital's usual escalation chain — do not let a referral simply go unanswered past its deadline.</w:t>
      </w:r>
    </w:p>
    <w:p>
      <w:pPr>
        <w:pStyle w:val="Heading1"/>
      </w:pPr>
      <w:r>
        <w:t>5. Records</w:t>
      </w:r>
    </w:p>
    <w:p>
      <w:r>
        <w:t>Supported by Records 10–11 of the AAC.10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Continuous and Multi-Disciplinary Patient Care (HCO/AAC/POL/10) — AAC.10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Heading1"/>
      </w:pPr>
      <w:r>
        <w:t>8.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