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Writing and Issuing the Discharge Summary</w:t>
      </w:r>
    </w:p>
    <w:p>
      <w:r>
        <w:t>«Hospital Name» — Supports AAC.13.a through AAC.13.e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exactly what «Hospital Name»'s discharge summary must contain, and how to write instructions the patient can actually understand and act on.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exactly what «Hospital Name»'s discharge summary must contain, and how to write instructions the patient can actually understand and act on.</w:t>
      </w:r>
    </w:p>
    <w:p>
      <w:pPr>
        <w:pStyle w:val="Heading1"/>
      </w:pPr>
      <w:r>
        <w:t>2. Scope</w:t>
      </w:r>
    </w:p>
    <w:p>
      <w:r>
        <w:t>Applies to every treating doctor or doctor member of a treating team who prepares and signs a discharge or death summary.</w:t>
      </w:r>
    </w:p>
    <w:p>
      <w:pPr>
        <w:pStyle w:val="Heading1"/>
      </w:pPr>
      <w:r>
        <w:t>3. Responsibility</w:t>
      </w:r>
    </w:p>
    <w:p>
      <w:r>
        <w:t xml:space="preserve">Treating Doctor: </w:t>
      </w:r>
      <w:r>
        <w:t>prepares, signs, and personally explains the summary to the patient or family.</w:t>
      </w:r>
    </w:p>
    <w:p>
      <w:pPr>
        <w:pStyle w:val="Heading1"/>
      </w:pPr>
      <w:r>
        <w:t>4. Procedure</w:t>
      </w:r>
    </w:p>
    <w:p>
      <w:pPr>
        <w:pStyle w:val="Heading2"/>
      </w:pPr>
      <w:r>
        <w:t>4.1 Provision and acknowledgement</w:t>
      </w:r>
    </w:p>
    <w:p>
      <w:r>
        <w:rPr>
          <w:b/>
          <w:i/>
        </w:rPr>
        <w:t xml:space="preserve">Why this step matters: </w:t>
      </w:r>
      <w:r>
        <w:rPr>
          <w:i/>
        </w:rPr>
        <w:t>A discharge summary issued but never acknowledged in writing leaves no proof the patient actually received it.</w:t>
      </w:r>
    </w:p>
    <w:p>
      <w:r>
        <w:t>1. Provide the discharge summary to the patient at the time of discharge, signed by the treating doctor or a doctor member of the treating team.</w:t>
      </w:r>
    </w:p>
    <w:p>
      <w:r>
        <w:t>2. Obtain and record the patient's or family's acknowledgement of receipt, with name and date.</w:t>
      </w:r>
    </w:p>
    <w:p>
      <w:pPr>
        <w:pStyle w:val="Heading2"/>
      </w:pPr>
      <w:r>
        <w:t>4.2 Standardised content</w:t>
      </w:r>
    </w:p>
    <w:p>
      <w:r>
        <w:rPr>
          <w:b/>
          <w:i/>
        </w:rPr>
        <w:t xml:space="preserve">Why this step matters: </w:t>
      </w:r>
      <w:r>
        <w:rPr>
          <w:i/>
        </w:rPr>
        <w:t>A summary missing one of the standard fields — with no reason recorded for the gap — gives the next treating doctor an incomplete picture of what happened.</w:t>
      </w:r>
    </w:p>
    <w:p>
      <w:r>
        <w:t>1. Use the current standardised template — every summary includes, at minimum: patient's name, unique identification number, treating doctor's name, admission and discharge dates, reason for admission, significant findings, diagnosis, and treatment given.</w:t>
      </w:r>
    </w:p>
    <w:p>
      <w:r>
        <w:t>2. If any standard field does not apply to this patient, record the reason it is not applicable rather than leaving it blank.</w:t>
      </w:r>
    </w:p>
    <w:p>
      <w:pPr>
        <w:pStyle w:val="Heading2"/>
      </w:pPr>
      <w:r>
        <w:t>4.3 Follow-up and medication instructions</w:t>
      </w:r>
    </w:p>
    <w:p>
      <w:r>
        <w:rPr>
          <w:b/>
          <w:i/>
        </w:rPr>
        <w:t xml:space="preserve">Why this step matters: </w:t>
      </w:r>
      <w:r>
        <w:rPr>
          <w:i/>
        </w:rPr>
        <w:t>An abbreviation like BD or TID means nothing to most patients — written out in plain words, it's the difference between a dose taken correctly and one guessed at.</w:t>
      </w:r>
    </w:p>
    <w:p>
      <w:r>
        <w:t>1. Write medication frequency in plain words the patient can understand — never use abbreviations such as BD, TID, or QID.</w:t>
      </w:r>
    </w:p>
    <w:p>
      <w:r>
        <w:t>2. Include equipment and wound-care instructions where applicable.</w:t>
      </w:r>
    </w:p>
    <w:p>
      <w:r>
        <w:t>3. Explain every instruction to the patient and/or relatives in a language and manner they understand — do not just hand over the paper. Confirm real understanding using the teach-back method (ask the patient to repeat the instruction in their own words) rather than only asking "do you understand?" — see Section 8, Reference 1.</w:t>
      </w:r>
    </w:p>
    <w:p>
      <w:r>
        <w:rPr>
          <w:b/>
          <w:i/>
          <w:sz w:val="18"/>
        </w:rPr>
        <w:t xml:space="preserve">Technical source(s) for these steps: </w:t>
      </w:r>
    </w:p>
    <w:p>
      <w:pPr>
        <w:pStyle w:val="ListParagraph"/>
      </w:pPr>
      <w:hyperlink r:id="rId9">
        <w:r>
          <w:rPr>
            <w:color w:val="0563C1"/>
            <w:u w:val="single"/>
          </w:rPr>
          <w:t>Agency for Healthcare Research and Quality. (n.d.). Use the teach-back method: Tool 5 (Health Literacy Universal Precautions Toolkit, 3rd ed.).</w:t>
        </w:r>
      </w:hyperlink>
    </w:p>
    <w:p>
      <w:pPr>
        <w:pStyle w:val="Heading2"/>
      </w:pPr>
      <w:r>
        <w:t>4.4 Urgent-care instructions</w:t>
      </w:r>
    </w:p>
    <w:p>
      <w:r>
        <w:rPr>
          <w:b/>
          <w:i/>
        </w:rPr>
        <w:t xml:space="preserve">Why this step matters: </w:t>
      </w:r>
      <w:r>
        <w:rPr>
          <w:i/>
        </w:rPr>
        <w:t>A generic urgent-care line tells a patient nothing about what to watch for in their own condition — specific instructions are what actually get acted on.</w:t>
      </w:r>
    </w:p>
    <w:p>
      <w:r>
        <w:t>1. Write urgent-care instructions specific to this patient's diagnosis and condition at discharge — not a generic statement.</w:t>
      </w:r>
    </w:p>
    <w:p>
      <w:r>
        <w:t>2. Include the hospital or doctor contact number for urgent queries.</w:t>
      </w:r>
    </w:p>
    <w:p>
      <w:pPr>
        <w:pStyle w:val="Heading2"/>
      </w:pPr>
      <w:r>
        <w:t>4.5 Death summary</w:t>
      </w:r>
    </w:p>
    <w:p>
      <w:r>
        <w:rPr>
          <w:b/>
          <w:i/>
        </w:rPr>
        <w:t xml:space="preserve">Why this step matters: </w:t>
      </w:r>
      <w:r>
        <w:rPr>
          <w:i/>
        </w:rPr>
        <w:t>An unclear cause of death left unexamined, especially in a medico-legal case, can leave a family and the hospital both without answers they may later need.</w:t>
      </w:r>
    </w:p>
    <w:p>
      <w:r>
        <w:t>1. State the cause of death clearly in the death summary.</w:t>
      </w:r>
    </w:p>
    <w:p>
      <w:r>
        <w:t>2. Where the cause of death is unclear — including medico-legal cases — arrange and document a post-mortem.</w:t>
      </w:r>
    </w:p>
    <w:p>
      <w:pPr>
        <w:pStyle w:val="Heading1"/>
      </w:pPr>
      <w:r>
        <w:t>5. Records</w:t>
      </w:r>
    </w:p>
    <w:p>
      <w:r>
        <w:t>Supported by all 10 records in the AAC.13 Required Records pack.</w:t>
      </w:r>
    </w:p>
    <w:p>
      <w:pPr>
        <w:pStyle w:val="Heading1"/>
      </w:pPr>
      <w:r>
        <w:t>6. Related Documents</w:t>
      </w:r>
    </w:p>
    <w:p>
      <w:pPr>
        <w:pStyle w:val="ListParagraph"/>
      </w:pPr>
      <w:r>
        <w:t>Policy on the Content of the Discharge Summary (HCO/AAC/POL/13) — AAC.13 policy</w:t>
      </w:r>
    </w:p>
    <w:p>
      <w:pPr>
        <w:pStyle w:val="ListParagraph"/>
      </w:pPr>
      <w:r>
        <w:t>SOP — Patient Discharge Planning, Coordination and Summary Issuance (AAC.12)</w:t>
      </w:r>
    </w:p>
    <w:p>
      <w:pPr>
        <w:pStyle w:val="Heading1"/>
      </w:pPr>
      <w:r>
        <w:t>7.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ISBN 978-81-965264-9-8.</w:t>
        </w:r>
      </w:hyperlink>
    </w:p>
    <w:p>
      <w:pPr>
        <w:pStyle w:val="ListParagraph"/>
      </w:pPr>
      <w:hyperlink r:id="rId11">
        <w:r>
          <w:rPr>
            <w:color w:val="0563C1"/>
            <w:u w:val="single"/>
          </w:rPr>
          <w:t>AHRQ — Health Literacy Universal Precautions Toolkit (3rd ed.), Tool 5: Use the Teach-Back Method</w:t>
        </w:r>
      </w:hyperlink>
    </w:p>
    <w:p>
      <w:pPr>
        <w:pStyle w:val="Heading1"/>
      </w:pPr>
      <w:r>
        <w:t>8. Review</w:t>
      </w:r>
    </w:p>
    <w:p>
      <w:r>
        <w:t>Reviewed annually.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hrq.gov/health-literacy/improve/precautions/tool5.html" TargetMode="External"/><Relationship Id="rId10" Type="http://schemas.openxmlformats.org/officeDocument/2006/relationships/hyperlink" Target="https://portal.nabh.co/images/Standards/NABH%20Hospital%20Accreditation%20Standard%206th%20Edition%20January%202025.pdf" TargetMode="External"/><Relationship Id="rId11" Type="http://schemas.openxmlformats.org/officeDocument/2006/relationships/hyperlink" Target="https://www.ahrq.gov/health-literacy/improve/precautions/toolk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