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Managing Bed Non-Availability and Temporary Holding</w:t>
      </w:r>
    </w:p>
    <w:p>
      <w:r>
        <w:t>«Hospital Name» — Supports AAC.2.d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manages patients when a bed is not available in the desired category, including temporary holding and redirection to alternate organisations.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manages patients when a bed is not available in the desired category, including temporary holding and redirection to alternate organisations.</w:t>
      </w:r>
    </w:p>
    <w:p>
      <w:pPr>
        <w:pStyle w:val="Heading1"/>
      </w:pPr>
      <w:r>
        <w:t>2. Scope</w:t>
      </w:r>
    </w:p>
    <w:p>
      <w:r>
        <w:t>Applies to every ward, ICU, day-care, and admission point where a bed-category or bed-availability mismatch occurs.</w:t>
      </w:r>
    </w:p>
    <w:p>
      <w:pPr>
        <w:pStyle w:val="Heading1"/>
      </w:pPr>
      <w:r>
        <w:t>3. Responsibility</w:t>
      </w:r>
    </w:p>
    <w:p>
      <w:r>
        <w:t xml:space="preserve">Bed Management / Nursing Administration: </w:t>
      </w:r>
      <w:r>
        <w:t>tracks bed availability and manages temporary holding placements.</w:t>
      </w:r>
    </w:p>
    <w:p>
      <w:r>
        <w:t xml:space="preserve">Billing Desk: </w:t>
      </w:r>
      <w:r>
        <w:t>explains financial implications when the desired bed category is unavailable.</w:t>
      </w:r>
    </w:p>
    <w:p>
      <w:r>
        <w:t xml:space="preserve">Medical Superintendent: </w:t>
      </w:r>
      <w:r>
        <w:t>is informed if a patient exceeds the defined temporary-holding time limit.</w:t>
      </w:r>
    </w:p>
    <w:p>
      <w:pPr>
        <w:pStyle w:val="Heading1"/>
      </w:pPr>
      <w:r>
        <w:t>4.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Declaring a bed unavailable without actually checking can send a patient to temporary holding that isn't equipped to care for them.</w:t>
      </w:r>
    </w:p>
    <w:p>
      <w:r>
        <w:t>1. When the desired bed category is unavailable, confirm current bed status by contacting the in-charge of each applicable ward directly, or by checking the hospital's defined bed-tracking mechanism (register, whiteboard, or bed-management software) if one exists — do not assume a bed is unavailable without this check.</w:t>
      </w:r>
    </w:p>
    <w:p>
      <w:r>
        <w:t>2. If placed in temporary holding, confirm the holding area has adequate infrastructure to care for the patient safely, and log the arrival time in the Temporary Holding Log.</w:t>
      </w:r>
    </w:p>
    <w:p>
      <w:r>
        <w:t>3. Explain the financial implications of the alternate bed category to the patient or family before confirming placement — quote the actual difference in daily bed charges from the hospital's current tariff list — and document that this explanation was given in the Bed-Category Mismatch Financial Explanation Record.</w:t>
      </w:r>
    </w:p>
    <w:p>
      <w:r>
        <w:t>4. Do not exceed 4 hours in temporary holding without a decision to transfer the patient to an appropriate bed or place them per the Alternate Organisations List. This 4-hour limit is the organisation's adopted maximum, based on the source in Section 8 below. [Hospital to define: state here if a different maximum applies to a specific unit, e.g. ICU step-down, and why.]</w:t>
      </w:r>
    </w:p>
    <w:p>
      <w:r>
        <w:t>5. If the 4-hour limit is reached, escalate immediately — call the hospital's on-duty administrator first; if unavailable, call the Medical Superintendent directly; if still unresolved, escalate to the CEO's office. [Hospital to define: enter the actual duty phone numbers for on-duty administrator, Medical Superintendent, and CEO's office here, so staff are not searching for a number during an active escalation.] Log the decision time and outcome in the Temporary Holding Log.</w:t>
      </w:r>
    </w:p>
    <w:p>
      <w:r>
        <w:t>6. Keep the Alternate Organisations List current — verify contact details and available services at least once a month.</w:t>
      </w:r>
    </w:p>
    <w:p>
      <w:pPr>
        <w:pStyle w:val="Heading1"/>
      </w:pPr>
      <w:r>
        <w:t>5. Records</w:t>
      </w:r>
    </w:p>
    <w:p>
      <w:r>
        <w:t>Supported by Records 10–13: the Bed Non-Availability Guidance Log, Alternate Organisations List, Temporary Holding Log, and Bed-Category Mismatch Financial Explanation Record.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Registration and Admission (HCO/AAC/POL/02) — AAC.2 policy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r>
        <w:rPr>
          <w:i/>
        </w:rPr>
        <w:t>The Joint Commission — Leadership Standards: Patient Flow (LD.04.03.11) — named source, no working link could be verified from here; check directly.</w:t>
      </w:r>
    </w:p>
    <w:p>
      <w:pPr>
        <w:pStyle w:val="Heading1"/>
      </w:pPr>
      <w:r>
        <w:t>8. Review</w:t>
      </w:r>
    </w:p>
    <w:p>
      <w:r>
        <w:t>Reviewed annually, or sooner if bed capacity or the temporary-holding time limit changes.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