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Patient Transfer (In, Out) and Referral</w:t>
      </w:r>
    </w:p>
    <w:p>
      <w:r>
        <w:t>«Hospital Name» — Supports AAC.3.a, AAC.3.b, AAC.3.c, AAC.3.d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SOP describes how «Hospital Name» receives transfer-in patients, transfers out or refers patients to another facility, assigns appropriate accompanying staff, and provides a summary of condition and treatment — safely, every time. If you're new to this SOP, the short version is: follow the numbered steps below in order — they exist because skipping one of them is exactly how a real gap or a real patient-safety problem happens, not because NABH likes paperwork for its own sake.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receives transfer-in patients, transfers out or refers patients to another facility, assigns appropriate accompanying staff, and provides a summary of condition and treatment — safely, every time.</w:t>
      </w:r>
    </w:p>
    <w:p>
      <w:pPr>
        <w:pStyle w:val="Heading1"/>
      </w:pPr>
      <w:r>
        <w:t>2. Scope</w:t>
      </w:r>
    </w:p>
    <w:p>
      <w:r>
        <w:t>Applies to emergency, every ward, ICU, day-care, and any unit that receives a transfer-in or initiates a transfer-out, referral, or diagnostic shift outside the immediate unit.</w:t>
      </w:r>
    </w:p>
    <w:p>
      <w:pPr>
        <w:pStyle w:val="Heading1"/>
      </w:pPr>
      <w:r>
        <w:t>3. Responsibility</w:t>
      </w:r>
    </w:p>
    <w:p>
      <w:r>
        <w:t xml:space="preserve">Treating Doctor: </w:t>
      </w:r>
      <w:r>
        <w:t>decides transfer need, ensures stabilisation, judges stability, and authorises transfer-out or referral.</w:t>
      </w:r>
    </w:p>
    <w:p>
      <w:r>
        <w:t xml:space="preserve">Accompanying Staff (nurse/technologist): </w:t>
      </w:r>
      <w:r>
        <w:t>must hold at least basic or advanced CPR training as appropriate to the patient's condition.</w:t>
      </w:r>
    </w:p>
    <w:p>
      <w:r>
        <w:t xml:space="preserve">Emergency In-Charge: </w:t>
      </w:r>
      <w:r>
        <w:t>coordinates transfer-in arrangements including any escort sent with the ambulance.</w:t>
      </w:r>
    </w:p>
    <w:p>
      <w:r>
        <w:t xml:space="preserve">Medical Records: </w:t>
      </w:r>
      <w:r>
        <w:t>verifies the retained summary copy is filed under the unique identification number.</w:t>
      </w:r>
    </w:p>
    <w:p>
      <w:pPr>
        <w:pStyle w:val="Heading1"/>
      </w:pPr>
      <w:r>
        <w:t>4. Plain-Language Glossary</w:t>
      </w:r>
    </w:p>
    <w:p>
      <w:r>
        <w:t>If a word below is unfamiliar, this is what it means in this SOP:</w:t>
      </w:r>
    </w:p>
    <w:p>
      <w:pPr>
        <w:pStyle w:val="ListParagraph"/>
      </w:pPr>
      <w:r>
        <w:rPr>
          <w:b/>
        </w:rPr>
        <w:t xml:space="preserve">LAMA: </w:t>
      </w:r>
      <w:r>
        <w:t>Left Against Medical Advice — when a patient chooses to leave the hospital despite the treating doctor advising them to stay.</w:t>
      </w:r>
    </w:p>
    <w:p>
      <w:pPr>
        <w:pStyle w:val="Heading1"/>
      </w:pPr>
      <w:r>
        <w:t>5. Procedure</w:t>
      </w:r>
    </w:p>
    <w:p>
      <w:pPr>
        <w:pStyle w:val="Heading2"/>
      </w:pPr>
      <w:r>
        <w:t>5.1 Transfer-in (planned and unplanned)</w:t>
      </w:r>
    </w:p>
    <w:p>
      <w:r>
        <w:rPr>
          <w:b/>
          <w:i/>
        </w:rPr>
        <w:t xml:space="preserve">Why this step matters: </w:t>
      </w:r>
      <w:r>
        <w:rPr>
          <w:i/>
        </w:rPr>
        <w:t>A transfer-in received with no trained escort and no documented clinical status on arrival leaves the receiving team working blind for the first critical minutes.</w:t>
      </w:r>
    </w:p>
    <w:p>
      <w:r>
        <w:t>1. For unplanned transfers or suspected unstable patients, consider sending a suitably trained person with the ambulance, guided by the information received from the referring facility.</w:t>
      </w:r>
    </w:p>
    <w:p>
      <w:r>
        <w:t>2. On arrival, register the patient under the hospital's registration process. The receiving doctor documents clinical status on arrival and whether the transfer was planned or unplanned.</w:t>
      </w:r>
    </w:p>
    <w:p>
      <w:r>
        <w:t>3. Send feedback to the referring organisation or doctor where appropriate.</w:t>
      </w:r>
    </w:p>
    <w:p>
      <w:pPr>
        <w:pStyle w:val="Heading2"/>
      </w:pPr>
      <w:r>
        <w:t>5.2 Transfer-out and referral</w:t>
      </w:r>
    </w:p>
    <w:p>
      <w:r>
        <w:rPr>
          <w:b/>
          <w:i/>
        </w:rPr>
        <w:t xml:space="preserve">Why this step matters: </w:t>
      </w:r>
      <w:r>
        <w:rPr>
          <w:i/>
        </w:rPr>
        <w:t>A transfer-out arranged without documenting stabilisation, mode, equipment, and monitoring is one where something necessary is likely to be missing on the other end.</w:t>
      </w:r>
    </w:p>
    <w:p>
      <w:r>
        <w:t>1. Consult the patient and/or family before transfer, where they can be consulted.</w:t>
      </w:r>
    </w:p>
    <w:p>
      <w:r>
        <w:t>2. Address pre-transfer stabilisation, choice of mode/vehicle, equipment required, and monitoring required — document each element. This follows the ACEP policy on appropriate interfacility transfer — see Section 9, Reference 1.</w:t>
      </w:r>
    </w:p>
    <w:p>
      <w:r>
        <w:t>3. If any stated requirement cannot be met, document the reason in the transfer record before the patient leaves — never leave it undocumented.</w:t>
      </w:r>
    </w:p>
    <w:p>
      <w:r>
        <w:t>4. The treating doctor authorises every transfer-out or referral.</w:t>
      </w:r>
    </w:p>
    <w:p>
      <w:r>
        <w:rPr>
          <w:b/>
          <w:i/>
          <w:sz w:val="18"/>
        </w:rPr>
        <w:t xml:space="preserve">Technical source(s) for these steps: </w:t>
      </w:r>
    </w:p>
    <w:p>
      <w:pPr>
        <w:pStyle w:val="ListParagraph"/>
      </w:pPr>
      <w:hyperlink r:id="rId9">
        <w:r>
          <w:rPr>
            <w:color w:val="0563C1"/>
            <w:u w:val="single"/>
          </w:rPr>
          <w:t>American College of Emergency Physicians. (2016). Appropriate interfacility patient transfer (Policy statement).</w:t>
        </w:r>
      </w:hyperlink>
    </w:p>
    <w:p>
      <w:pPr>
        <w:pStyle w:val="Heading2"/>
      </w:pPr>
      <w:r>
        <w:t>5.3 Assigning accompanying staff</w:t>
      </w:r>
    </w:p>
    <w:p>
      <w:r>
        <w:rPr>
          <w:b/>
          <w:i/>
        </w:rPr>
        <w:t xml:space="preserve">Why this step matters: </w:t>
      </w:r>
      <w:r>
        <w:rPr>
          <w:i/>
        </w:rPr>
        <w:t>An unstable patient transferred without a doctor or appropriately trained staff alongside them has no one able to respond if their condition worsens en route.</w:t>
      </w:r>
    </w:p>
    <w:p>
      <w:r>
        <w:t>1. Assign staff who hold at minimum trained trauma technologist, emergency technologist, or nurse status, with basic or advanced CPR training as appropriate to the patient's condition. "Basic" and "advanced" CPR training correspond to the American Heart Association's Basic Life Support (BLS) and Advanced Cardiovascular Life Support (ACLS) certification levels, or the hospital's equivalent recognised training.</w:t>
      </w:r>
    </w:p>
    <w:p>
      <w:r>
        <w:t>2. A doctor must accompany any unstable admitted patient being transferred out or shifted for diagnostics. Judge stability against airway, breathing, circulation, and conscious level, per the written stability criteria.</w:t>
      </w:r>
    </w:p>
    <w:p>
      <w:r>
        <w:t>3. Record the names and roles of accompanying staff on the transfer summary.</w:t>
      </w:r>
    </w:p>
    <w:p>
      <w:r>
        <w:rPr>
          <w:b/>
          <w:i/>
          <w:sz w:val="18"/>
        </w:rPr>
        <w:t xml:space="preserve">Technical source(s) for these steps: </w:t>
      </w:r>
    </w:p>
    <w:p>
      <w:pPr>
        <w:pStyle w:val="ListParagraph"/>
      </w:pPr>
      <w:hyperlink r:id="rId10">
        <w:r>
          <w:rPr>
            <w:color w:val="0563C1"/>
            <w:u w:val="single"/>
          </w:rPr>
          <w:t>American Heart Association. (n.d.). Basic Life Support (BLS) and Advanced Cardiovascular Life Support (ACLS) training.</w:t>
        </w:r>
      </w:hyperlink>
    </w:p>
    <w:p>
      <w:pPr>
        <w:pStyle w:val="Heading2"/>
      </w:pPr>
      <w:r>
        <w:t>5.4 Transfer/discharge summary</w:t>
      </w:r>
    </w:p>
    <w:p>
      <w:r>
        <w:rPr>
          <w:b/>
          <w:i/>
        </w:rPr>
        <w:t xml:space="preserve">Why this step matters: </w:t>
      </w:r>
      <w:r>
        <w:rPr>
          <w:i/>
        </w:rPr>
        <w:t>A patient transferred or discharged with no summary of findings and treatment leaves the next team to start from nothing.</w:t>
      </w:r>
    </w:p>
    <w:p>
      <w:r>
        <w:t>1. Give a transfer summary stating significant findings and treatment given, to every patient transferred from emergency or shifted for diagnostic or therapeutic purposes.</w:t>
      </w:r>
    </w:p>
    <w:p>
      <w:r>
        <w:t>2. If the patient is discharged and transferred out — including leaving against medical advice (LAMA) — give a discharge summary instead, following the same standard.</w:t>
      </w:r>
    </w:p>
    <w:p>
      <w:r>
        <w:t>3. Retain a copy of every transfer or discharge summary. Medical Records files it under the unique identification number before closing the episode.</w:t>
      </w:r>
    </w:p>
    <w:p>
      <w:pPr>
        <w:pStyle w:val="Heading1"/>
      </w:pPr>
      <w:r>
        <w:t>6. Stop-Work Authority</w:t>
      </w:r>
    </w:p>
    <w:p>
      <w:r>
        <w:t>Any staff member covered by this SOP has the explicit right to pause or refuse to proceed with an unsafe step described below — this is not a disciplinary matter, even if it later turns out the step would have been fine.</w:t>
      </w:r>
    </w:p>
    <w:p>
      <w:r>
        <w:t>Do not transfer an unstable patient out, or shift an unstable admitted patient for diagnostics, unless transfer criteria are met, pre-transfer stabilisation is done, and appropriate accompanying staff are assigned. If those conditions are not met: stop the transfer, continue stabilisation, and escalate to the treating doctor and the Medical Superintendent the same shift. Document why the transfer was held. Stop-work never blocks emergency life-saving measures — it only blocks unsafe transfer movement. Refusing an unsafe transfer is not a disciplinary matter.</w:t>
      </w:r>
    </w:p>
    <w:p>
      <w:pPr>
        <w:pStyle w:val="Heading1"/>
      </w:pPr>
      <w:r>
        <w:t>7. Records</w:t>
      </w:r>
    </w:p>
    <w:p>
      <w:r>
        <w:t>Supported by all 16 records in the AAC.3 Required Records pack, covering transfer-in, transfer-out/referral, accompanying staff, and transfer/discharge summaries.</w:t>
      </w:r>
    </w:p>
    <w:p>
      <w:pPr>
        <w:pStyle w:val="Heading1"/>
      </w:pPr>
      <w:r>
        <w:t>8. Related Documents</w:t>
      </w:r>
    </w:p>
    <w:p>
      <w:pPr>
        <w:pStyle w:val="ListParagraph"/>
      </w:pPr>
      <w:r>
        <w:t>Policy on Transfer In, Transfer Out and Referral (HCO/AAC/POL/03) — AAC.3 policy</w:t>
      </w:r>
    </w:p>
    <w:p>
      <w:pPr>
        <w:pStyle w:val="ListParagraph"/>
      </w:pPr>
      <w:r>
        <w:t>SOP — Patient Registration, Identification and Admission</w:t>
      </w:r>
    </w:p>
    <w:p>
      <w:pPr>
        <w:pStyle w:val="Heading1"/>
      </w:pPr>
      <w:r>
        <w:t>9. Where This SOP's Requirements Come From (Verified Sources)</w:t>
      </w:r>
    </w:p>
    <w:p>
      <w:pPr>
        <w:pStyle w:val="ListParagraph"/>
      </w:pPr>
      <w:hyperlink r:id="rId11">
        <w:r>
          <w:rPr>
            <w:color w:val="0563C1"/>
            <w:u w:val="single"/>
          </w:rPr>
          <w:t>National Accreditation Board for Hospitals and Healthcare Providers. (2025). NABH accreditation standards for hospitals (6th ed.). ISBN 978-81-965264-9-8.</w:t>
        </w:r>
      </w:hyperlink>
    </w:p>
    <w:p>
      <w:pPr>
        <w:pStyle w:val="ListParagraph"/>
      </w:pPr>
      <w:hyperlink r:id="rId9">
        <w:r>
          <w:rPr>
            <w:color w:val="0563C1"/>
            <w:u w:val="single"/>
          </w:rPr>
          <w:t>ACEP — Appropriate Interfacility Patient Transfer (policy statement, 2022)</w:t>
        </w:r>
      </w:hyperlink>
    </w:p>
    <w:p>
      <w:pPr>
        <w:pStyle w:val="ListParagraph"/>
      </w:pPr>
      <w:hyperlink r:id="rId12">
        <w:r>
          <w:rPr>
            <w:color w:val="0563C1"/>
            <w:u w:val="single"/>
          </w:rPr>
          <w:t>American Heart Association — BLS and ACLS Courses for Healthcare Professionals</w:t>
        </w:r>
      </w:hyperlink>
    </w:p>
    <w:p>
      <w:pPr>
        <w:pStyle w:val="Heading1"/>
      </w:pPr>
      <w:r>
        <w:t>10. Review</w:t>
      </w:r>
    </w:p>
    <w:p>
      <w:r>
        <w:t>Reviewed annually, and sooner after any adverse event during a transfer.</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cep.org/patient-care/policy-statements/appropriate-interfacility-patient-transfer/" TargetMode="External"/><Relationship Id="rId10" Type="http://schemas.openxmlformats.org/officeDocument/2006/relationships/hyperlink" Target="https://cpr.heart.org/en/cpr-courses-and-kits/healthcare-professional/basic-life-support-bls-training" TargetMode="External"/><Relationship Id="rId11" Type="http://schemas.openxmlformats.org/officeDocument/2006/relationships/hyperlink" Target="https://portal.nabh.co/images/Standards/NABH%20Hospital%20Accreditation%20Standard%206th%20Edition%20January%202025.pdf" TargetMode="External"/><Relationship Id="rId12" Type="http://schemas.openxmlformats.org/officeDocument/2006/relationships/hyperlink" Target="https://cpr.heart.org/en/cpr-courses-and-kits/healthcare-profess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