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Initial Assessment and Care Plan Documentation</w:t>
      </w:r>
    </w:p>
    <w:p>
      <w:r>
        <w:t>«Hospital Name» — Supports AAC.4.a through AAC.4.g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performs standardised initial assessment for every patient, within a defined time, by qualified personnel — resulting in a documented, countersigned care plan for in-patients that identifies special discharge needs early.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performs standardised initial assessment for every patient, within a defined time, by qualified personnel — resulting in a documented, countersigned care plan for in-patients that identifies special discharge needs early.</w:t>
      </w:r>
    </w:p>
    <w:p>
      <w:pPr>
        <w:pStyle w:val="Heading1"/>
      </w:pPr>
      <w:r>
        <w:t>2. Scope</w:t>
      </w:r>
    </w:p>
    <w:p>
      <w:r>
        <w:t>Applies to treating doctors, nurses, and other caregivers performing initial assessment in OPD, day-care (including dialysis), in-patient wards, and emergency.</w:t>
      </w:r>
    </w:p>
    <w:p>
      <w:pPr>
        <w:pStyle w:val="Heading1"/>
      </w:pPr>
      <w:r>
        <w:t>3. Responsibility</w:t>
      </w:r>
    </w:p>
    <w:p>
      <w:r>
        <w:t xml:space="preserve">Treating Doctor / Assessor: </w:t>
      </w:r>
      <w:r>
        <w:t>performs assessment within their privileged scope and within 24 hours of ward arrival for in-patients.</w:t>
      </w:r>
    </w:p>
    <w:p>
      <w:r>
        <w:t xml:space="preserve">Nursing Staff: </w:t>
      </w:r>
      <w:r>
        <w:t>complete the nursing assessment at admission for IP and day-care.</w:t>
      </w:r>
    </w:p>
    <w:p>
      <w:r>
        <w:t xml:space="preserve">Clinician In-Charge: </w:t>
      </w:r>
      <w:r>
        <w:t>countersigns every care plan within 24 hours.</w:t>
      </w:r>
    </w:p>
    <w:p>
      <w:r>
        <w:t xml:space="preserve">Department Heads: </w:t>
      </w:r>
      <w:r>
        <w:t>maintain the assessment privilege list; the Medical Superintendent approves it.</w:t>
      </w:r>
    </w:p>
    <w:p>
      <w:pPr>
        <w:pStyle w:val="Heading1"/>
      </w:pPr>
      <w:r>
        <w:t>4. Procedure</w:t>
      </w:r>
    </w:p>
    <w:p>
      <w:pPr>
        <w:pStyle w:val="Heading2"/>
      </w:pPr>
      <w:r>
        <w:t>4.1 Standardised initial assessment</w:t>
      </w:r>
    </w:p>
    <w:p>
      <w:r>
        <w:rPr>
          <w:b/>
          <w:i/>
        </w:rPr>
        <w:t xml:space="preserve">Why this step matters: </w:t>
      </w:r>
      <w:r>
        <w:rPr>
          <w:i/>
        </w:rPr>
        <w:t>An assessment that skips the standardised format, or misses vital parameters in an emergency, can miss the one finding that would have changed the treatment plan.</w:t>
      </w:r>
    </w:p>
    <w:p>
      <w:r>
        <w:t>1. Use the approved standardised format for the area (OPD, day-care, IP, or emergency). Formats may differ by department but stay consistent within a given area.</w:t>
      </w:r>
    </w:p>
    <w:p>
      <w:r>
        <w:t>2. In emergency, record vital parameters immediately as part of initial assessment.</w:t>
      </w:r>
    </w:p>
    <w:p>
      <w:r>
        <w:t>3. For in-patients, complete history, examination including vitals, drug allergies, provisional diagnosis, and medication reconciliation. If a detailed assessment was already done the same day in OPD or emergency, do not repeat it — reference it instead.</w:t>
      </w:r>
    </w:p>
    <w:p>
      <w:r>
        <w:t>4. Use abridged documentation for day-care patients, including dialysis, where appropriate to the setting.</w:t>
      </w:r>
    </w:p>
    <w:p>
      <w:pPr>
        <w:pStyle w:val="Heading2"/>
      </w:pPr>
      <w:r>
        <w:t>4.2 Assessment only within privileged scope</w:t>
      </w:r>
    </w:p>
    <w:p>
      <w:r>
        <w:rPr>
          <w:b/>
          <w:i/>
        </w:rPr>
        <w:t xml:space="preserve">Why this step matters: </w:t>
      </w:r>
      <w:r>
        <w:rPr>
          <w:i/>
        </w:rPr>
        <w:t>An assessment performed by someone not on the current privilege list for that type of assessment is one the hospital cannot actually stand behind if something goes wrong.</w:t>
      </w:r>
    </w:p>
    <w:p>
      <w:r>
        <w:t>1. Before performing any assessment, confirm you are named on the current Assessment Privilege List for that type of assessment.</w:t>
      </w:r>
    </w:p>
    <w:p>
      <w:r>
        <w:t>2. Department Heads keep the privilege list current; the Medical Superintendent approves every addition or change.</w:t>
      </w:r>
    </w:p>
    <w:p>
      <w:pPr>
        <w:pStyle w:val="Heading2"/>
      </w:pPr>
      <w:r>
        <w:t>4.3 Meeting the time frame</w:t>
      </w:r>
    </w:p>
    <w:p>
      <w:r>
        <w:rPr>
          <w:b/>
          <w:i/>
        </w:rPr>
        <w:t xml:space="preserve">Why this step matters: </w:t>
      </w:r>
      <w:r>
        <w:rPr>
          <w:i/>
        </w:rPr>
        <w:t>An initial assessment that drifts past 24 hours — or past triage timing in an emergency — delays catching a problem for exactly as long as it's late.</w:t>
      </w:r>
    </w:p>
    <w:p>
      <w:r>
        <w:t>1. For in-patients: the clock starts on ward arrival and stops at assessment completion — the maximum is 24 hours, with no exception. Assess unstable or high-dependency patients immediately, or within a shorter time the hospital defines for that category. [Hospital to define: state the shorter time for unstable/high-dependency patients here.]</w:t>
      </w:r>
    </w:p>
    <w:p>
      <w:r>
        <w:t>2. For emergency: record the primary survey and vital signs immediately on arrival, and begin triage immediately, following the World Health Organization's Emergency Triage Assessment and Treatment (ETAT) framework — see Section 8, Reference 1. The hospital's overall time-to-completion target for emergency initial assessment is [Hospital to define].</w:t>
      </w:r>
    </w:p>
    <w:p>
      <w:r>
        <w:t>3. For day-care: complete assessment before the procedure or session begins.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Organization. (2005). Emergency Triage Assessment and Treatment (ETAT) course.</w:t>
        </w:r>
      </w:hyperlink>
    </w:p>
    <w:p>
      <w:pPr>
        <w:pStyle w:val="Heading2"/>
      </w:pPr>
      <w:r>
        <w:t>4.4 Nursing assessment at admission</w:t>
      </w:r>
    </w:p>
    <w:p>
      <w:r>
        <w:rPr>
          <w:b/>
          <w:i/>
        </w:rPr>
        <w:t xml:space="preserve">Why this step matters: </w:t>
      </w:r>
      <w:r>
        <w:rPr>
          <w:i/>
        </w:rPr>
        <w:t>A nursing assessment skipped or delayed at admission means special needs identified late are needs the patient has already gone without for part of their stay.</w:t>
      </w:r>
    </w:p>
    <w:p>
      <w:r>
        <w:t>1. Complete a nursing assessment at the time of admission for every IP and day-care patient, using the checklist or template for that speciality or admission type.</w:t>
      </w:r>
    </w:p>
    <w:p>
      <w:r>
        <w:t>2. Identify nursing needs and any special needs, and document within the time frame the hospital has defined for nursing assessment completion. [Hospital to define: state that time frame here.]</w:t>
      </w:r>
    </w:p>
    <w:p>
      <w:pPr>
        <w:pStyle w:val="Heading2"/>
      </w:pPr>
      <w:r>
        <w:t>4.5 Documented, countersigned care plan</w:t>
      </w:r>
    </w:p>
    <w:p>
      <w:r>
        <w:rPr>
          <w:b/>
          <w:i/>
        </w:rPr>
        <w:t xml:space="preserve">Why this step matters: </w:t>
      </w:r>
      <w:r>
        <w:rPr>
          <w:i/>
        </w:rPr>
        <w:t>An initial care plan that's never countersigned by the clinician in-charge has no one actually accountable for the plan the junior doctor started.</w:t>
      </w:r>
    </w:p>
    <w:p>
      <w:r>
        <w:t>1. For every in-patient, write a care plan in the patient record based on the initial assessment and any available diagnostic results — including provisional/differential diagnosis, relevant investigations, initial treatment, and specific instructions.</w:t>
      </w:r>
    </w:p>
    <w:p>
      <w:r>
        <w:t>2. A junior doctor may initiate the care plan, but the clinician in-charge must countersign it, dated and timed, within 24 hours.</w:t>
      </w:r>
    </w:p>
    <w:p>
      <w:r>
        <w:t>3. If the clinician in-charge will be unavailable beyond 24 hours, the named covering consultant countersigns instead, and the Medical Superintendent is informed.</w:t>
      </w:r>
    </w:p>
    <w:p>
      <w:pPr>
        <w:pStyle w:val="Heading2"/>
      </w:pPr>
      <w:r>
        <w:t>4.6 Identifying special post-discharge needs early</w:t>
      </w:r>
    </w:p>
    <w:p>
      <w:r>
        <w:rPr>
          <w:b/>
          <w:i/>
        </w:rPr>
        <w:t xml:space="preserve">Why this step matters: </w:t>
      </w:r>
      <w:r>
        <w:rPr>
          <w:i/>
        </w:rPr>
        <w:t>A special discharge need spotted only on the day of discharge leaves no time to actually arrange for it — age, mobility, and ongoing-care needs have to be caught early to be planned for.</w:t>
      </w:r>
    </w:p>
    <w:p>
      <w:r>
        <w:t>1. Begin identifying special discharge needs during the initial assessment — not only on the day of discharge. Both nursing and medical assessment contribute.</w:t>
      </w:r>
    </w:p>
    <w:p>
      <w:r>
        <w:t>2. Pay particular attention to extremes of age, restricted mobility, and continuing nursing or rehabilitation needs.</w:t>
      </w:r>
    </w:p>
    <w:p>
      <w:r>
        <w:t>3. Hand off identified special needs to discharge planning as soon as they are identified, following the hospital's discharge process.</w:t>
      </w:r>
    </w:p>
    <w:p>
      <w:pPr>
        <w:pStyle w:val="Heading1"/>
      </w:pPr>
      <w:r>
        <w:t>5. Records</w:t>
      </w:r>
    </w:p>
    <w:p>
      <w:r>
        <w:t>Supported by all 23 records in the AAC.4 Required Records pack, covering assessment formats, privilege, timing, nursing assessment, care plan content, countersignature, and special-needs identification.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Initial Assessment (HCO/AAC/POL/04) — AAC.4 policy</w:t>
      </w:r>
    </w:p>
    <w:p>
      <w:pPr>
        <w:pStyle w:val="ListParagraph"/>
      </w:pPr>
      <w:r>
        <w:t>SOP — Patient Re-assessment and Care Plan Modification (AAC.5)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9">
        <w:r>
          <w:rPr>
            <w:color w:val="0563C1"/>
            <w:u w:val="single"/>
          </w:rPr>
          <w:t>WHO — Emergency Triage Assessment and Treatment (ETAT) Course (2005)</w:t>
        </w:r>
      </w:hyperlink>
    </w:p>
    <w:p>
      <w:pPr>
        <w:pStyle w:val="Heading1"/>
      </w:pPr>
      <w:r>
        <w:t>8. Review</w:t>
      </w:r>
    </w:p>
    <w:p>
      <w:r>
        <w:t>Reviewed annually, or sooner when assessment formats or the privilege list change.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publications/i/item/9241546875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