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Specimen Collection, Handling, Transport, Reporting and Disposal</w:t>
      </w:r>
    </w:p>
    <w:p>
      <w:r>
        <w:t>«Hospital Name» — Supports AAC.6.e, AAC.6.f, AAC.6.h, AAC.6.j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handles a laboratory specimen from requisition through to disposal, produces standardised reports within defined turnaround time, and manages outsourced testing safely.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handles a laboratory specimen from requisition through to disposal, produces standardised reports within defined turnaround time, and manages outsourced testing safely.</w:t>
      </w:r>
    </w:p>
    <w:p>
      <w:pPr>
        <w:pStyle w:val="Heading1"/>
      </w:pPr>
      <w:r>
        <w:t>2. Scope</w:t>
      </w:r>
    </w:p>
    <w:p>
      <w:r>
        <w:t>Applies to laboratory staff, nurses who collect or transport specimens, and treating doctors who requisition tests.</w:t>
      </w:r>
    </w:p>
    <w:p>
      <w:pPr>
        <w:pStyle w:val="Heading1"/>
      </w:pPr>
      <w:r>
        <w:t>3. Responsibility</w:t>
      </w:r>
    </w:p>
    <w:p>
      <w:r>
        <w:t xml:space="preserve">Requisitioning Doctor: orders the correct test with adequate clinical information.</w:t>
      </w:r>
    </w:p>
    <w:p>
      <w:r>
        <w:t xml:space="preserve">Collecting Staff (nurse/phlebotomist): verifies two identifiers, labels correctly, and follows written collection guidance.</w:t>
      </w:r>
    </w:p>
    <w:p>
      <w:r>
        <w:t xml:space="preserve">Laboratory In-Charge: defines TAT per test and monitors compliance.</w:t>
      </w:r>
    </w:p>
    <w:p>
      <w:pPr>
        <w:pStyle w:val="Heading1"/>
      </w:pPr>
      <w:r>
        <w:t>4. Procedure</w:t>
      </w:r>
    </w:p>
    <w:p>
      <w:pPr>
        <w:pStyle w:val="Heading2"/>
      </w:pPr>
      <w:r>
        <w:t>4.1 Requisition and collection</w:t>
      </w:r>
    </w:p>
    <w:p>
      <w:r>
        <w:rPr>
          <w:b/>
          <w:i/>
        </w:rPr>
        <w:t xml:space="preserve">Why this step matters: </w:t>
      </w:r>
      <w:r>
        <w:rPr>
          <w:i/>
        </w:rPr>
        <w:t>A specimen collected against an unclear requisition, or without checking patient identifiers twice, risks a result reported against the wrong patient.</w:t>
      </w:r>
    </w:p>
    <w:p>
      <w:r>
        <w:t>1. Confirm the requisition names the correct test and carries adequate clinical information.</w:t>
      </w:r>
    </w:p>
    <w:p>
      <w:r>
        <w:t>2. Check two patient identifiers before collection, and again at laboratory receipt.</w:t>
      </w:r>
    </w:p>
    <w:p>
      <w:r>
        <w:t>3. Label the specimen with the patient's unique identification number immediately at collection — never label after the fact.</w:t>
      </w:r>
    </w:p>
    <w:p>
      <w:r>
        <w:t>4. Reject any specimen that is unlabelled, mislabelled, haemolysed, clotted, or insufficient, and log it in the Specimen Rejection Log with the reason.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Clinical and Laboratory Standards Institute. (n.d.). PRE02: Collection of diagnostic venous blood specimens (8th ed.).</w:t>
        </w:r>
      </w:hyperlink>
    </w:p>
    <w:p>
      <w:pPr>
        <w:pStyle w:val="ListParagraph"/>
      </w:pPr>
      <w:r>
        <w:t>Note: CLSI PRE02 is cited for collection technique only. NABH does not mandate this specific guideline — ISO 15189 (the standard NABL accreditation is based on) and the hospital’s own validated collection procedure are equally acceptable.</w:t>
      </w:r>
    </w:p>
    <w:p>
      <w:pPr>
        <w:pStyle w:val="Heading2"/>
      </w:pPr>
      <w:r>
        <w:t>4.2 Transport and processing</w:t>
      </w:r>
    </w:p>
    <w:p>
      <w:r>
        <w:rPr>
          <w:b/>
          <w:i/>
        </w:rPr>
        <w:t xml:space="preserve">Why this step matters: </w:t>
      </w:r>
      <w:r>
        <w:rPr>
          <w:i/>
        </w:rPr>
        <w:t>A specimen transported or processed outside its required condition can degrade before it's even tested, making the result meaningless.</w:t>
      </w:r>
    </w:p>
    <w:p>
      <w:r>
        <w:t>1. Transport specimens per the written guidance for that specimen type, maintaining any required temperature or handling condition.</w:t>
      </w:r>
    </w:p>
    <w:p>
      <w:r>
        <w:t>2. Process within the turnaround time defined for that specific test (per Record 16 — Defined TAT by Test Category). If a delay is likely, inform the requisitioning doctor.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Clinical and Laboratory Standards Institute. (n.d.). PRE02: Collection of diagnostic venous blood specimens (8th ed.).</w:t>
        </w:r>
      </w:hyperlink>
    </w:p>
    <w:p>
      <w:pPr>
        <w:pStyle w:val="ListParagraph"/>
      </w:pPr>
      <w:r>
        <w:t>Note: CLSI PRE02 is cited for collection technique only. NABH does not mandate this specific guideline — ISO 15189 (the standard NABL accreditation is based on) and the hospital’s own validated collection procedure are equally acceptable.</w:t>
      </w:r>
    </w:p>
    <w:p>
      <w:pPr>
        <w:pStyle w:val="Heading2"/>
      </w:pPr>
      <w:r>
        <w:t>4.3 Turnaround time monitoring</w:t>
      </w:r>
    </w:p>
    <w:p>
      <w:r>
        <w:rPr>
          <w:b/>
          <w:i/>
        </w:rPr>
        <w:t xml:space="preserve">Why this step matters: </w:t>
      </w:r>
      <w:r>
        <w:rPr>
          <w:i/>
        </w:rPr>
        <w:t>A rule that's never actually monitored tends to quietly stop being followed, without anyone deciding that on purpose.</w:t>
      </w:r>
    </w:p>
    <w:p>
      <w:r>
        <w:t>1. Monitor TAT continuously against the defined time for each test category. This hospital's continuous-monitoring approach is adapted from the College of American Pathologists (CAP) Q-TRACKS quality indicator monitoring programme — see Section 8, Reference 1.</w:t>
      </w:r>
    </w:p>
    <w:p>
      <w:r>
        <w:t>2. Escalate any persistent TAT breach to the Laboratory In-Charge and log the reason and corrective action.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r>
        <w:rPr>
          <w:i/>
          <w:sz w:val="18"/>
        </w:rPr>
        <w:t>College of American Pathologists. (n.d.). Q-Tracks: A College of American Pathologists program of continuous laboratory monitoring and longitudinal performance tracking.</w:t>
      </w:r>
    </w:p>
    <w:p>
      <w:pPr>
        <w:pStyle w:val="ListParagraph"/>
      </w:pPr>
      <w:r>
        <w:t>Note: CAP Q-TRACKS is cited as one example of a structured TAT-monitoring programme, not as a mandated external benchmark. NABL-accredited laboratories run equivalent indicator monitoring under ISO 15189; either approach satisfies this requirement.</w:t>
      </w:r>
    </w:p>
    <w:p>
      <w:pPr>
        <w:pStyle w:val="Heading2"/>
      </w:pPr>
      <w:r>
        <w:t>4.4 Standardised reporting</w:t>
      </w:r>
    </w:p>
    <w:p>
      <w:r>
        <w:rPr>
          <w:b/>
          <w:i/>
        </w:rPr>
        <w:t xml:space="preserve">Why this step matters: </w:t>
      </w:r>
      <w:r>
        <w:rPr>
          <w:i/>
        </w:rPr>
        <w:t>Delaying escalation on something urgent is often worse than the original problem.</w:t>
      </w:r>
    </w:p>
    <w:p>
      <w:r>
        <w:t>1. Every report includes, at minimum: organisation name (or outsourced lab name), patient name, unique identification number, and authorised signatory.</w:t>
      </w:r>
    </w:p>
    <w:p>
      <w:r>
        <w:t>2. Never alter or modify the content of an outsourced report. If issued on this hospital's letterhead, add the outsourced laboratory's name, date, and reference number without changing the result itself.</w:t>
      </w:r>
    </w:p>
    <w:p>
      <w:pPr>
        <w:pStyle w:val="Heading2"/>
      </w:pPr>
      <w:r>
        <w:t>4.5 Outsourced tests</w:t>
      </w:r>
    </w:p>
    <w:p>
      <w:r>
        <w:rPr>
          <w:b/>
          <w:i/>
        </w:rPr>
        <w:t xml:space="preserve">Why this step matters: </w:t>
      </w:r>
      <w:r>
        <w:rPr>
          <w:i/>
        </w:rPr>
        <w:t>Outsourcing to a lab without a documented quality system means the hospital has no way to vouch for a result it didn't generate itself.</w:t>
      </w:r>
    </w:p>
    <w:p>
      <w:r>
        <w:t>1. Outsource only to a laboratory with a documented quality assurance system and a current MoU with this hospital — preferably one accredited by NABL (National Accreditation Board for Testing and Calibration Laboratories) under ISO 15189.</w:t>
      </w:r>
    </w:p>
    <w:p>
      <w:r>
        <w:t>2. Follow the written outsourcing guidance for packaging, labelling, and transport of specimens sent out.</w:t>
      </w:r>
    </w:p>
    <w:p>
      <w:r>
        <w:t>3. Review outsourced laboratory performance at least annually.</w:t>
      </w:r>
    </w:p>
    <w:p>
      <w:pPr>
        <w:pStyle w:val="Heading2"/>
      </w:pPr>
      <w:r>
        <w:t>4.6 Disposal</w:t>
      </w:r>
    </w:p>
    <w:p>
      <w:r>
        <w:rPr>
          <w:b/>
          <w:i/>
        </w:rPr>
        <w:t xml:space="preserve">Why this step matters: </w:t>
      </w:r>
      <w:r>
        <w:rPr>
          <w:i/>
        </w:rPr>
        <w:t>Laboratory waste handled outside the hospital's infection-control procedures is a route for exposure that has nothing to do with the test result itself.</w:t>
      </w:r>
    </w:p>
    <w:p>
      <w:r>
        <w:t>1. Segregate and hand over laboratory waste per the hospital's infection-control / biomedical-waste documents — this SOP does not restate those statutory duties, only requires that they are followed.</w:t>
      </w:r>
    </w:p>
    <w:p>
      <w:pPr>
        <w:pStyle w:val="Heading1"/>
      </w:pPr>
      <w:r>
        <w:t>5. Records</w:t>
      </w:r>
    </w:p>
    <w:p>
      <w:r>
        <w:t>Supported by Records 1, 3, and 13–30 of the AAC.6 Required Records pack.</w:t>
      </w:r>
    </w:p>
    <w:p>
      <w:pPr>
        <w:pStyle w:val="Heading1"/>
      </w:pPr>
      <w:r>
        <w:t>6. Related Documents</w:t>
      </w:r>
    </w:p>
    <w:p>
      <w:pPr>
        <w:pStyle w:val="ListParagraph"/>
      </w:pPr>
      <w:r>
        <w:t>Policy on Laboratory Services (HCO/AAC/POL/06) — AAC.6 policy</w:t>
      </w:r>
    </w:p>
    <w:p>
      <w:pPr>
        <w:pStyle w:val="ListParagraph"/>
      </w:pPr>
      <w:r>
        <w:t>Hospital infection-control / biomedical-waste management documents</w:t>
      </w:r>
    </w:p>
    <w:p>
      <w:pPr>
        <w:pStyle w:val="Heading1"/>
      </w:pPr>
      <w:r>
        <w:t>7. Where This SOP's Requirements Come From (Verified Sources)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ListParagraph"/>
      </w:pPr>
      <w:r>
        <w:rPr>
          <w:i/>
        </w:rPr>
        <w:t>CAP — Q-TRACKS Quality Indicator Monitoring Programme — named source, no working link could be verified from here; check directly.</w:t>
      </w:r>
    </w:p>
    <w:p>
      <w:pPr>
        <w:pStyle w:val="Heading1"/>
      </w:pPr>
      <w:r>
        <w:t>8. Review</w:t>
      </w:r>
    </w:p>
    <w:p>
      <w:r>
        <w:t>Reviewed annually, or sooner when clinical scope, equipment, or outsourcing arrangements change.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lsi.org/shop/standards/pre02/" TargetMode="External"/><Relationship Id="rId10" Type="http://schemas.openxmlformats.org/officeDocument/2006/relationships/hyperlink" Target="https://portal.nabh.co/images/Standards/NABH%20Hospital%20Accreditation%20Standard%206th%20Edition%20January%20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