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Internal Quality Control and Result-Release Control</w:t>
      </w:r>
    </w:p>
    <w:p>
      <w:r>
        <w:t>«Hospital Name» — Supports AAC.7.b, AAC.7.c</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runs internal quality control (IQC) for laboratory tests, and what happens the moment IQC fails — including when patient results may or may not be released.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runs internal quality control (IQC) for laboratory tests, and what happens the moment IQC fails — including when patient results may or may not be released.</w:t>
      </w:r>
    </w:p>
    <w:p>
      <w:pPr>
        <w:pStyle w:val="Heading1"/>
      </w:pPr>
      <w:r>
        <w:t>2. Scope</w:t>
      </w:r>
    </w:p>
    <w:p>
      <w:r>
        <w:t>Applies to every quantitative and qualitative test parameter performed in the laboratory.</w:t>
      </w:r>
    </w:p>
    <w:p>
      <w:pPr>
        <w:pStyle w:val="Heading1"/>
      </w:pPr>
      <w:r>
        <w:t>3. Responsibility</w:t>
      </w:r>
    </w:p>
    <w:p>
      <w:r>
        <w:t xml:space="preserve">Laboratory Technologist: runs IQC per the defined schedule and checks results before releasing any patient result for that run.</w:t>
      </w:r>
    </w:p>
    <w:p>
      <w:r>
        <w:t xml:space="preserve">Laboratory In-Charge / Supervising Specialist: authorises any override when IQC fails, with documented justification.</w:t>
      </w:r>
    </w:p>
    <w:p>
      <w:pPr>
        <w:pStyle w:val="Heading1"/>
      </w:pPr>
      <w:r>
        <w:t>4. Plain-Language Glossary</w:t>
      </w:r>
    </w:p>
    <w:p>
      <w:r>
        <w:t>If a word below is unfamiliar, this is what it means in this SOP:</w:t>
      </w:r>
    </w:p>
    <w:p>
      <w:pPr>
        <w:pStyle w:val="ListParagraph"/>
      </w:pPr>
      <w:r>
        <w:rPr>
          <w:b/>
        </w:rPr>
        <w:t xml:space="preserve">CAPA: </w:t>
      </w:r>
      <w:r>
        <w:t>Short for Corrective and Preventive Action — what was done to fix a specific problem right now, and what's being done so it doesn't happen again.</w:t>
      </w:r>
    </w:p>
    <w:p>
      <w:pPr>
        <w:pStyle w:val="Heading1"/>
      </w:pPr>
      <w:r>
        <w:t>5. Procedure</w:t>
      </w:r>
    </w:p>
    <w:p>
      <w:pPr>
        <w:pStyle w:val="Heading2"/>
      </w:pPr>
      <w:r>
        <w:t>5.1 Running IQC</w:t>
      </w:r>
    </w:p>
    <w:p>
      <w:r>
        <w:rPr>
          <w:b/>
          <w:i/>
        </w:rPr>
        <w:t xml:space="preserve">Why this step matters: </w:t>
      </w:r>
      <w:r>
        <w:rPr>
          <w:i/>
        </w:rPr>
        <w:t>Releasing patient results without running IQC first means there is nothing standing between an out-of-control instrument and a wrong result reaching a doctor.</w:t>
      </w:r>
    </w:p>
    <w:p>
      <w:r>
        <w:t>1. Run IQC for every quantitative and qualitative parameter per the defined schedule, before releasing patient results for that run. This SOP's approach to designing and interpreting IQC follows CLSI guideline C24 — see Section 6, Reference 1.</w:t>
      </w:r>
    </w:p>
    <w:p>
      <w:r>
        <w:t>2. Where more than one measuring system is used for the same test, check comparability between systems and log the result.</w:t>
      </w:r>
    </w:p>
    <w:p>
      <w:r>
        <w:rPr>
          <w:b/>
          <w:i/>
          <w:sz w:val="18"/>
        </w:rPr>
        <w:t xml:space="preserve">Technical source(s) for these steps: </w:t>
      </w:r>
    </w:p>
    <w:p>
      <w:pPr>
        <w:pStyle w:val="ListParagraph"/>
      </w:pPr>
      <w:hyperlink r:id="rId9">
        <w:r>
          <w:rPr>
            <w:color w:val="0563C1"/>
            <w:u w:val="single"/>
          </w:rPr>
          <w:t>Clinical and Laboratory Standards Institute. (n.d.). C24: Statistical quality control for quantitative measurement procedures: Principles and definitions (4th ed.).</w:t>
        </w:r>
      </w:hyperlink>
    </w:p>
    <w:p>
      <w:pPr>
        <w:pStyle w:val="ListParagraph"/>
      </w:pPr>
      <w:r>
        <w:t>Note: CLSI C24 is cited for IQC design/interpretation technique only. NABH does not mandate this specific guideline — ISO 15189 (the standard NABL accreditation is based on) and the hospital’s own validated IQC protocol are equally acceptable.</w:t>
      </w:r>
    </w:p>
    <w:p>
      <w:pPr>
        <w:pStyle w:val="Heading2"/>
      </w:pPr>
      <w:r>
        <w:t>5.2 When IQC fails</w:t>
      </w:r>
    </w:p>
    <w:p>
      <w:r>
        <w:rPr>
          <w:b/>
          <w:i/>
        </w:rPr>
        <w:t xml:space="preserve">Why this step matters: </w:t>
      </w:r>
      <w:r>
        <w:rPr>
          <w:i/>
        </w:rPr>
        <w:t>Continuing to release results for a parameter that has failed IQC — without a documented, authorised override — risks reporting a number the lab can't actually stand behind.</w:t>
      </w:r>
    </w:p>
    <w:p>
      <w:r>
        <w:t>1. Stop reporting patient results for the affected parameter immediately.</w:t>
      </w:r>
    </w:p>
    <w:p>
      <w:r>
        <w:t>2. Do not release results for that parameter until IQC is acceptable again, or a documented clinical override — authorised by the Laboratory In-Charge or supervising Pathologist/Biochemist/Microbiologist — is recorded with justification.</w:t>
      </w:r>
    </w:p>
    <w:p>
      <w:r>
        <w:t>3. Open a CAPA record for the failure and track the root cause to closure.</w:t>
      </w:r>
    </w:p>
    <w:p>
      <w:r>
        <w:rPr>
          <w:b/>
          <w:i/>
          <w:sz w:val="18"/>
        </w:rPr>
        <w:t xml:space="preserve">Technical source(s) for these steps: </w:t>
      </w:r>
    </w:p>
    <w:p>
      <w:pPr>
        <w:pStyle w:val="ListParagraph"/>
      </w:pPr>
      <w:hyperlink r:id="rId9">
        <w:r>
          <w:rPr>
            <w:color w:val="0563C1"/>
            <w:u w:val="single"/>
          </w:rPr>
          <w:t>Clinical and Laboratory Standards Institute. (n.d.). C24: Statistical quality control for quantitative measurement procedures: Principles and definitions (4th ed.).</w:t>
        </w:r>
      </w:hyperlink>
    </w:p>
    <w:p>
      <w:pPr>
        <w:pStyle w:val="Heading2"/>
      </w:pPr>
      <w:r>
        <w:t>5.3 Proficiency testing / external quality assurance</w:t>
      </w:r>
    </w:p>
    <w:p>
      <w:r>
        <w:rPr>
          <w:b/>
          <w:i/>
        </w:rPr>
        <w:t xml:space="preserve">Why this step matters: </w:t>
      </w:r>
      <w:r>
        <w:rPr>
          <w:i/>
        </w:rPr>
        <w:t>Without external proficiency testing, a lab has no independent check that its results agree with anyone else's — internal QC alone can't catch a shared bias.</w:t>
      </w:r>
    </w:p>
    <w:p>
      <w:r>
        <w:t>1. Enrol in PT/EQA schemes for every analyte where a formal programme exists and the laboratory performs the test — preferably an EQAS run by an NABL-recognised or Indian provider (e.g. CMC Vellore EQAS, AIIMS EQAS) where available, alongside or instead of an international scheme.</w:t>
      </w:r>
    </w:p>
    <w:p>
      <w:r>
        <w:t>2. Where formal PT/EQA is not practically available (unstable analyte, no national programme, or similar), use a documented alternate approach — e.g. split-sample comparison with a reference laboratory.</w:t>
      </w:r>
    </w:p>
    <w:p>
      <w:r>
        <w:t>3. For any outlier result in a PT/EQA cycle, implement and document a corrective action.</w:t>
      </w:r>
    </w:p>
    <w:p>
      <w:pPr>
        <w:pStyle w:val="Heading1"/>
      </w:pPr>
      <w:r>
        <w:t>6. Records</w:t>
      </w:r>
    </w:p>
    <w:p>
      <w:r>
        <w:t>Supported by Records 4–9 of the AAC.7 Required Records pack.</w:t>
      </w:r>
    </w:p>
    <w:p>
      <w:pPr>
        <w:pStyle w:val="Heading1"/>
      </w:pPr>
      <w:r>
        <w:t>7. Related Documents</w:t>
      </w:r>
    </w:p>
    <w:p>
      <w:pPr>
        <w:pStyle w:val="ListParagraph"/>
      </w:pPr>
      <w:r>
        <w:t>Policy on Laboratory Quality Assurance and Safety Programme (HCO/AAC/POL/07) — AAC.7 policy</w:t>
      </w:r>
    </w:p>
    <w:p>
      <w:pPr>
        <w:pStyle w:val="ListParagraph"/>
      </w:pPr>
      <w:r>
        <w:t>SOP — Specimen Collection, Handling, Transport, Reporting and Disposal (AAC.6)</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9">
        <w:r>
          <w:rPr>
            <w:color w:val="0563C1"/>
            <w:u w:val="single"/>
          </w:rPr>
          <w:t>CLSI — Statistical Quality Control for Quantitative Measurement Procedures (Guideline C24, 4th ed., 2016)</w:t>
        </w:r>
      </w:hyperlink>
    </w:p>
    <w:p>
      <w:pPr>
        <w:pStyle w:val="Heading1"/>
      </w:pPr>
      <w:r>
        <w:t>9. Review</w:t>
      </w:r>
    </w:p>
    <w:p>
      <w:r>
        <w:t>Reviewed annually, or sooner after a serious IQC failure or major method change.</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si.org/shop/standards/c24/"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