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Laboratory Safety Practices, PPE and MSDS Compliance</w:t>
      </w:r>
    </w:p>
    <w:p>
      <w:r>
        <w:t>«Hospital Name» — Supports AAC.7.e, AAC.7.f, AAC.7.g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«Hospital Name» keeps laboratory staff safe — through training, PPE, MSDS access, and immunisation — in line with the laboratory safety programme. If you're new to this SOP, the short version is: follow the numbered steps below in order — they exist because skipping one of them is exactly how a real gap or a real patient-safety problem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keeps laboratory staff safe — through training, PPE, MSDS access, and immunisation — in line with the laboratory safety programme.</w:t>
      </w:r>
    </w:p>
    <w:p>
      <w:pPr>
        <w:pStyle w:val="Heading1"/>
      </w:pPr>
      <w:r>
        <w:t>2. Scope</w:t>
      </w:r>
    </w:p>
    <w:p>
      <w:r>
        <w:t>Applies to every laboratory staff member and any ancillary staff who enter the laboratory.</w:t>
      </w:r>
    </w:p>
    <w:p>
      <w:pPr>
        <w:pStyle w:val="Heading1"/>
      </w:pPr>
      <w:r>
        <w:t>3. Responsibility</w:t>
      </w:r>
    </w:p>
    <w:p>
      <w:r>
        <w:t xml:space="preserve">Laboratory In-Charge: </w:t>
      </w:r>
      <w:r>
        <w:t>keeps the safety manual and MSDS set current and accessible.</w:t>
      </w:r>
    </w:p>
    <w:p>
      <w:r>
        <w:t xml:space="preserve">Every Laboratory Staff Member: </w:t>
      </w:r>
      <w:r>
        <w:t>uses required PPE and follows standard precautions at all times, without exception.</w:t>
      </w:r>
    </w:p>
    <w:p>
      <w:pPr>
        <w:pStyle w:val="Heading1"/>
      </w:pPr>
      <w:r>
        <w:t>4. Procedure</w:t>
      </w:r>
    </w:p>
    <w:p>
      <w:r>
        <w:rPr>
          <w:b/>
          <w:i/>
        </w:rPr>
        <w:t xml:space="preserve">Why this step matters: </w:t>
      </w:r>
      <w:r>
        <w:rPr>
          <w:i/>
        </w:rPr>
        <w:t>Staff handling reagents without an accessible MSDS have no way to know what they're actually exposed to or how to respond if something goes wrong.</w:t>
      </w:r>
    </w:p>
    <w:p>
      <w:r>
        <w:t>1. Keep the laboratory safety manual available in the laboratory at all times, addressing workforce and equipment safety per identified hazards. This SOP's approach to biosafety risk assessment and PPE follows the WHO Laboratory Biosafety Manual, 4th edition — see Section 6, Reference 1.</w:t>
      </w:r>
    </w:p>
    <w:p>
      <w:r>
        <w:t>2. Keep an MSDS on file for every reagent in use, accessible to all staff who handle it.</w:t>
      </w:r>
    </w:p>
    <w:p>
      <w:r>
        <w:t>3. Identify training needs by job description, and provide induction plus annual safe-practice and MSDS training.</w:t>
      </w:r>
    </w:p>
    <w:p>
      <w:r>
        <w:t>4. Provide adequate PPE, disinfectants, spill kits, and fire extinguishers, and never allow work without required PPE.</w:t>
      </w:r>
    </w:p>
    <w:p>
      <w:r>
        <w:t>5. Ensure every laboratory staff member is immunised per the organisation's occupational-health schedule — Hepatitis B at minimum.</w:t>
      </w:r>
    </w:p>
    <w:p>
      <w:r>
        <w:t>6. Follow standard precautions at all times — this is not situational or optional.</w:t>
      </w:r>
    </w:p>
    <w:p>
      <w:r>
        <w:rPr>
          <w:b/>
          <w:i/>
          <w:sz w:val="18"/>
        </w:rPr>
        <w:t xml:space="preserve">Technical source(s) for these steps: </w:t>
      </w:r>
    </w:p>
    <w:p>
      <w:pPr>
        <w:pStyle w:val="ListParagraph"/>
      </w:pPr>
      <w:hyperlink r:id="rId9">
        <w:r>
          <w:rPr>
            <w:color w:val="0563C1"/>
            <w:u w:val="single"/>
          </w:rPr>
          <w:t>World Health Organization. (2020). Laboratory biosafety manual (4th ed.).</w:t>
        </w:r>
      </w:hyperlink>
    </w:p>
    <w:p>
      <w:pPr>
        <w:pStyle w:val="Heading1"/>
      </w:pPr>
      <w:r>
        <w:t>5. Records</w:t>
      </w:r>
    </w:p>
    <w:p>
      <w:r>
        <w:t>Supported by Records 13–21 of the AAC.7 Required Records pack.</w:t>
      </w:r>
    </w:p>
    <w:p>
      <w:pPr>
        <w:pStyle w:val="Heading1"/>
      </w:pPr>
      <w:r>
        <w:t>6. Related Documents</w:t>
      </w:r>
    </w:p>
    <w:p>
      <w:pPr>
        <w:pStyle w:val="ListParagraph"/>
      </w:pPr>
      <w:r>
        <w:t>Policy on Laboratory Quality Assurance and Safety Programme (HCO/AAC/POL/07) — AAC.7 policy</w:t>
      </w:r>
    </w:p>
    <w:p>
      <w:pPr>
        <w:pStyle w:val="ListParagraph"/>
      </w:pPr>
      <w:r>
        <w:t>Organisation-wide occupational health and safety programme</w:t>
      </w:r>
    </w:p>
    <w:p>
      <w:pPr>
        <w:pStyle w:val="Heading1"/>
      </w:pPr>
      <w:r>
        <w:t>7. Where This SOP's Requirements Come From (Verified Sources)</w:t>
      </w:r>
    </w:p>
    <w:p>
      <w:pPr>
        <w:pStyle w:val="ListParagraph"/>
      </w:pPr>
      <w:hyperlink r:id="rId10">
        <w:r>
          <w:rPr>
            <w:color w:val="0563C1"/>
            <w:u w:val="single"/>
          </w:rPr>
          <w:t>National Accreditation Board for Hospitals and Healthcare Providers. (2025). NABH accreditation standards for hospitals (6th ed.). ISBN 978-81-965264-9-8.</w:t>
        </w:r>
      </w:hyperlink>
    </w:p>
    <w:p>
      <w:pPr>
        <w:pStyle w:val="ListParagraph"/>
      </w:pPr>
      <w:hyperlink r:id="rId9">
        <w:r>
          <w:rPr>
            <w:color w:val="0563C1"/>
            <w:u w:val="single"/>
          </w:rPr>
          <w:t>WHO — Laboratory Biosafety Manual (4th ed., 2020)</w:t>
        </w:r>
      </w:hyperlink>
    </w:p>
    <w:p>
      <w:pPr>
        <w:pStyle w:val="Heading1"/>
      </w:pPr>
      <w:r>
        <w:t>8. Review</w:t>
      </w:r>
    </w:p>
    <w:p>
      <w:r>
        <w:t>Reviewed annually, or sooner after a serious safety incident.</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publications/i/item/9789240011311" TargetMode="External"/><Relationship Id="rId10"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