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Critical Imaging Result Communication</w:t>
      </w:r>
    </w:p>
    <w:p>
      <w:r>
        <w:t>«Hospital Name» — Supports AAC.8.f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communicates a critical imaging finding the moment the report is ready, with a documented read-back.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communicates a critical imaging finding the moment the report is ready, with a documented read-back.</w:t>
      </w:r>
    </w:p>
    <w:p>
      <w:pPr>
        <w:pStyle w:val="Heading1"/>
      </w:pPr>
      <w:r>
        <w:t>2. Scope</w:t>
      </w:r>
    </w:p>
    <w:p>
      <w:r>
        <w:t>Applies to every radiologist or authorised reporter, for every modality with a defined critical-result category, including outsourced and teleradiology reports.</w:t>
      </w:r>
    </w:p>
    <w:p>
      <w:pPr>
        <w:pStyle w:val="Heading1"/>
      </w:pPr>
      <w:r>
        <w:t>3. Responsibility</w:t>
      </w:r>
    </w:p>
    <w:p>
      <w:r>
        <w:t xml:space="preserve">Reporting Radiologist / Authorised Reporter: </w:t>
      </w:r>
      <w:r>
        <w:t>identifies the critical finding and calls it in immediately.</w:t>
      </w:r>
    </w:p>
    <w:p>
      <w:r>
        <w:t xml:space="preserve">Receiving Clinical Staff: </w:t>
      </w:r>
      <w:r>
        <w:t>reads back the finding to confirm accuracy.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critical imaging finding left for routine report distribution can sit unseen by the treating team for far longer than the finding can afford.</w:t>
      </w:r>
    </w:p>
    <w:p>
      <w:r>
        <w:t>1. Check every completed study against the documented critical-result definitions for that modality.</w:t>
      </w:r>
    </w:p>
    <w:p>
      <w:r>
        <w:t>2. The moment a critical finding is identified, call a person from the treating team immediately — do not wait for routine report distribution.</w:t>
      </w:r>
    </w:p>
    <w:p>
      <w:r>
        <w:t>3. State clearly: patient name, unique ID, date and time of imaging, investigation name, and the finding.</w:t>
      </w:r>
    </w:p>
    <w:p>
      <w:r>
        <w:t>4. Ask the recipient to read back the finding to confirm it was heard correctly, and log that the read-back was done.</w:t>
      </w:r>
    </w:p>
    <w:p>
      <w:r>
        <w:t>5. Record your identity and the recipient's identity in the Critical Imaging Result Communication Log, with date and time.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Clinical and Laboratory Standards Institute. (2015). GP47: Management of critical- and significant-risk results (1st ed.).</w:t>
        </w:r>
      </w:hyperlink>
    </w:p>
    <w:p>
      <w:pPr>
        <w:pStyle w:val="Heading1"/>
      </w:pPr>
      <w:r>
        <w:t>5. Records</w:t>
      </w:r>
    </w:p>
    <w:p>
      <w:r>
        <w:t>Supported by Records 16–18 of the AAC.8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Imaging Services (HCO/AAC/POL/08) — AAC.8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The Joint Commission — National Patient Safety Goals: Report Critical Results on a Timely Basis (NPSG.02.03.01)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ACR — Practice Parameter for Communication of Diagnostic Imaging Findings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si.org/shop/standards/gp47/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jointcommission.org/en-us/standards/national-patient-safety-goals" TargetMode="External"/><Relationship Id="rId12" Type="http://schemas.openxmlformats.org/officeDocument/2006/relationships/hyperlink" Target="https://www.acr.org/-/media/ACR/Files/Practice-Parameters/CommunicationDia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