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Legal Compliance for Imaging Equipment and Stop-Work</w:t>
      </w:r>
    </w:p>
    <w:p>
      <w:r>
        <w:t>«Hospital Name» — Supports AAC.8.a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keeps every radiation-emitting and PC-PNDT-covered imaging modality legally compliant, and what staff must do — including stopping the examination — when a required legal clearance is missing.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keeps every radiation-emitting and PC-PNDT-covered imaging modality legally compliant, and what staff must do — including stopping the examination — when a required legal clearance is missing.</w:t>
      </w:r>
    </w:p>
    <w:p>
      <w:pPr>
        <w:pStyle w:val="Heading1"/>
      </w:pPr>
      <w:r>
        <w:t>2. Scope</w:t>
      </w:r>
    </w:p>
    <w:p>
      <w:r>
        <w:t>Applies to every radiation-emitting imaging modality (requiring AERB clearance) and every ultrasound modality covered by PC-PNDT registration.</w:t>
      </w:r>
    </w:p>
    <w:p>
      <w:pPr>
        <w:pStyle w:val="Heading1"/>
      </w:pPr>
      <w:r>
        <w:t>3. Responsibility</w:t>
      </w:r>
    </w:p>
    <w:p>
      <w:r>
        <w:t xml:space="preserve">Radiation Safety Officer (RSO): </w:t>
      </w:r>
      <w:r>
        <w:t>tracks AERB clearance, dosimeter status, and lead-protection compliance.</w:t>
      </w:r>
    </w:p>
    <w:p>
      <w:r>
        <w:t xml:space="preserve">Imaging In-Charge: </w:t>
      </w:r>
      <w:r>
        <w:t>tracks PC-PNDT registration, displays, and reporting obligations.</w:t>
      </w:r>
    </w:p>
    <w:p>
      <w:r>
        <w:t xml:space="preserve">Any Imaging Staff Member: </w:t>
      </w:r>
      <w:r>
        <w:t>has the authority — and the duty — to stop an examination when required compliance is missing.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Operating radiation equipment on an expired clearance, or without a valid RSO, is both a patient and a regulatory exposure the hospital carries every shift it goes unchecked.</w:t>
      </w:r>
    </w:p>
    <w:p>
      <w:r>
        <w:t>1. Before every shift, confirm AERB clearance is current for every radiation-emitting modality in use, and that the named RSO's appointment is current. AERB clearance requirements derive from the Atomic Energy (Radiation Protection) Rules, 2004 — see Section 9, Reference 1.</w:t>
      </w:r>
    </w:p>
    <w:p>
      <w:r>
        <w:t>2. Confirm PC-PNDT registration, required displays, and reporting to the competent authority are current for every covered ultrasound modality, per the Pre-Conception and Pre-Natal Diagnostic Techniques (Prohibition of Sex Selection) Act, 1994 — see Section 9, Reference 2.</w:t>
      </w:r>
    </w:p>
    <w:p>
      <w:r>
        <w:t>3. Initiate renewal of any clearance well in advance of its expiry — track expiry dates in the Legal Compliance Status Update Log.</w:t>
      </w:r>
    </w:p>
    <w:p>
      <w:r>
        <w:t>4. Never use equipment when its clearance has lapsed, regardless of clinical urgency for a non-emergency case.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Atomic Energy Regulatory Board, Government of India. (2004). Atomic Energy (Radiation Protection) Rules, 2004.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Government of India. (1994). Pre-Conception and Pre-Natal Diagnostic Techniques (Prohibition of Sex Selection) Act, 1994.</w:t>
        </w:r>
      </w:hyperlink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scan or expose a patient when required legal compliance for the modality is missing — AERB clearance and RSO cover for radiation equipment; PC-PNDT registration and displays for covered ultrasound. Do not use radiation-emitting equipment when mandatory personnel monitoring (dosimeter/TLD) or required lead protection for the examination is unavailable. Stop-work applies to the imaging examination only — it does not block emergency clinical stabilisation outside the imaging room. The person who stops tells the Imaging In-Charge or the Radiation Safety Officer the same shift, and the Medical Superintendent if legal clearance is the barrier. Refusing to scan without required checks is not a disciplinary matter.</w:t>
      </w:r>
    </w:p>
    <w:p>
      <w:pPr>
        <w:pStyle w:val="Heading1"/>
      </w:pPr>
      <w:r>
        <w:t>6. Records</w:t>
      </w:r>
    </w:p>
    <w:p>
      <w:r>
        <w:t>Supported by Records 1–3 of the AAC.8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Imaging Services (HCO/AAC/POL/08) — AAC.8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9">
        <w:r>
          <w:rPr>
            <w:color w:val="0563C1"/>
            <w:u w:val="single"/>
          </w:rPr>
          <w:t>Atomic Energy Regulatory Board, Government of India — Atomic Energy (Radiation Protection) Rules, 2004</w:t>
        </w:r>
      </w:hyperlink>
    </w:p>
    <w:p>
      <w:pPr>
        <w:pStyle w:val="ListParagraph"/>
      </w:pPr>
      <w:r>
        <w:rPr>
          <w:i/>
        </w:rPr>
        <w:t>Government of India — Pre-Conception and Pre-Natal Diagnostic Techniques (Prohibition of Sex Selection) Act, 1994 — named source, no working link could be verified from here; check directly.</w:t>
      </w:r>
    </w:p>
    <w:p>
      <w:pPr>
        <w:pStyle w:val="Heading1"/>
      </w:pPr>
      <w:r>
        <w:t>9. Review</w:t>
      </w:r>
    </w:p>
    <w:p>
      <w:r>
        <w:t>Reviewed annually, or sooner when equipment, modalities, or legal registrations change.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erb.gov.in/images/PDF/RPR2004-with-corrigendum.pdf" TargetMode="External"/><Relationship Id="rId10" Type="http://schemas.openxmlformats.org/officeDocument/2006/relationships/hyperlink" Target="https://www.indiacode.nic.in/handle/123456789/1937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