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Uniform Care Across Settings and Telemedicine</w:t>
      </w:r>
    </w:p>
    <w:p>
      <w:r>
        <w:t>«Hospital Name» — SOP-COP.1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gives the same standard of care for a given clinical condition wherever that care is provided -- identifying every patient with at least two identifiers before an act of care, applying evidence-based clinical protocols the same way in every setting, and either running a telemedicine facility under written guidance or stating in writing that none is provided.</w:t>
            </w:r>
          </w:p>
        </w:tc>
      </w:tr>
    </w:tbl>
    <w:p/>
    <w:tbl>
      <w:tblPr>
        <w:tblStyle w:val="TableGrid"/>
        <w:tblW w:type="auto" w:w="0"/>
        <w:tblLook w:firstColumn="1" w:firstRow="1" w:lastColumn="0" w:lastRow="0" w:noHBand="0" w:noVBand="1" w:val="04A0"/>
      </w:tblPr>
      <w:tblGrid>
        <w:gridCol w:w="8640"/>
      </w:tblGrid>
      <w:tr>
        <w:tc>
          <w:tcPr>
            <w:tcW w:type="dxa" w:w="8640"/>
          </w:tcPr>
          <w:p>
            <w:r>
              <w:t>A protocol is revised on the ward but the emergency area keeps using the old version. This SOP is what requires every setting to receive the new version and withdraw the old one on the same date -- not a revision that quietly reaches one room and not another.</w:t>
            </w:r>
          </w:p>
        </w:tc>
      </w:tr>
    </w:tbl>
    <w:p/>
    <w:tbl>
      <w:tblPr>
        <w:tblStyle w:val="TableGrid"/>
        <w:tblW w:type="auto" w:w="0"/>
        <w:tblLook w:firstColumn="1" w:firstRow="1" w:lastColumn="0" w:lastRow="0" w:noHBand="0" w:noVBand="1" w:val="04A0"/>
      </w:tblPr>
      <w:tblGrid>
        <w:gridCol w:w="8640"/>
      </w:tblGrid>
      <w:tr>
        <w:tc>
          <w:tcPr>
            <w:tcW w:type="dxa" w:w="8640"/>
          </w:tcPr>
          <w:p>
            <w:r>
              <w:t>We do this because a bed number identifies a location, not a person, and a location can be occupied by someone else between an order being written and the act of care being given -- and because a protocol known on the ward and unknown in day-care means a patient's care depends on which room they happen to be in, rather than on their condition.</w:t>
            </w:r>
          </w:p>
        </w:tc>
      </w:tr>
    </w:tbl>
    <w:p/>
    <w:p>
      <w:r>
        <w:t>To define how «Hospital Name» gives uniform care across every setting: two-identifier confirmation before every act of care, an applicable-law list kept current, evidence-based protocols applied consistently, and telemedicine under written guidance or a recorded decision not to provide it.</w:t>
      </w:r>
    </w:p>
    <w:p>
      <w:pPr>
        <w:pStyle w:val="Heading1"/>
      </w:pPr>
      <w:r>
        <w:t>2. Scope</w:t>
      </w:r>
    </w:p>
    <w:p>
      <w:r>
        <w:t>so every setting that provides care -- OPD, day-care, wards, theatre, telemedicine -- works from the same identification and protocol standard.</w:t>
      </w:r>
    </w:p>
    <w:p>
      <w:r>
        <w:t>Applies to every setting in which «Hospital Name» provides care -- out-patient department, day-care, in-patient wards, intensive or high-dependency areas, the emergency area, procedure rooms, the operation theatre, and any location from which a telemedicine consultation is given or received.</w:t>
      </w:r>
    </w:p>
    <w:p>
      <w:pPr>
        <w:pStyle w:val="Heading1"/>
      </w:pPr>
      <w:r>
        <w:t>3. Responsibility</w:t>
      </w:r>
    </w:p>
    <w:p>
      <w:r>
        <w:t>care that depends on which room a patient is in, rather than on their condition, is exactly what uniform care exists to prevent.</w:t>
      </w:r>
    </w:p>
    <w:p>
      <w:r>
        <w:rPr>
          <w:b/>
        </w:rPr>
        <w:t xml:space="preserve">Head of the Institution: </w:t>
      </w:r>
      <w:r>
        <w:t>Is accountable for two-identifier patient identification, care that stays inside applicable laws, protocols that are actually used and consistent across settings, and telemedicine that is either guided in writing or not provided.</w:t>
      </w:r>
    </w:p>
    <w:p>
      <w:r>
        <w:rPr>
          <w:b/>
        </w:rPr>
        <w:t xml:space="preserve">Heads of Each Setting: </w:t>
      </w:r>
      <w:r>
        <w:t>Keep the current clinical protocol version in their setting, withdraw the previous version on the same date as every other setting, and report a contradiction between settings.</w:t>
      </w:r>
    </w:p>
    <w:p>
      <w:r>
        <w:rPr>
          <w:b/>
        </w:rPr>
        <w:t xml:space="preserve">Clinicians and Nursing Staff: </w:t>
      </w:r>
      <w:r>
        <w:t>Apply the two-identifier process before every act of care and apply the adopted protocol for the condition without running a personal version that differs by setting.</w:t>
      </w:r>
    </w:p>
    <w:p>
      <w:r>
        <w:rPr>
          <w:b/>
        </w:rPr>
        <w:t xml:space="preserve">Registered Medical Practitioners (Telemedicine): </w:t>
      </w:r>
      <w:r>
        <w:t>Provide telemedicine consultations only under the written guidance, never as informal remote advice.</w:t>
      </w:r>
    </w:p>
    <w:p>
      <w:r>
        <w:rPr>
          <w:b/>
        </w:rPr>
        <w:t xml:space="preserve">Administration: </w:t>
      </w:r>
      <w:r>
        <w:t>Maintains the applicable-law list against the service directory and, where telemedicine is provided, the platform and privacy arrangement.</w:t>
      </w:r>
    </w:p>
    <w:p>
      <w:r>
        <w:rPr>
          <w:b/>
        </w:rPr>
        <w:t xml:space="preserve">Quality/Accreditation Coordinator: </w:t>
      </w:r>
      <w:r>
        <w:t>Audits the records produced by this SOP and reports findings to the Head of the Institution.</w:t>
      </w:r>
    </w:p>
    <w:p>
      <w:pPr>
        <w:pStyle w:val="Heading1"/>
      </w:pPr>
      <w:r>
        <w:t>4. What to do</w:t>
      </w:r>
    </w:p>
    <w:p>
      <w:pPr>
        <w:pStyle w:val="Heading2"/>
      </w:pPr>
      <w:r>
        <w:t>Confirm two identifiers before every act of care</w:t>
      </w:r>
    </w:p>
    <w:p>
      <w:r>
        <w:t>A bed number, room number or tray position identifies a location, not a person -- and a location can be occupied by someone else between the order being written and the act of care being given.</w:t>
      </w:r>
    </w:p>
    <w:p>
      <w:r>
        <w:t>The two identifiers used at «Hospital Name» are the patient's name and the unique identification number issued at registration, or another pair the hospital defines. Bed, room, cubicle, trolley or tray position is never used as an identifier.</w:t>
      </w:r>
    </w:p>
    <w:p>
      <w:r>
        <w:t>Staff confirm both identifiers against the patient (or identifier band) and against the record, requisition or order, before medication, a procedure, specimen collection, transfusion, transfer, or any other act of care.</w:t>
      </w:r>
    </w:p>
    <w:p>
      <w:pPr>
        <w:pStyle w:val="Heading2"/>
      </w:pPr>
      <w:r>
        <w:t>Keep the applicable-law list current against the service directory</w:t>
      </w:r>
    </w:p>
    <w:p>
      <w:r>
        <w:t>A law list copied from another hospital's chapter, or one that was never updated when a service changed, tells staff they are compliant with laws that may no longer be the ones that actually govern what this hospital does.</w:t>
      </w:r>
    </w:p>
    <w:p>
      <w:r>
        <w:t>Administration maintains a written list of the laws and regulations that apply to the care «Hospital Name» actually provides.</w:t>
      </w:r>
    </w:p>
    <w:p>
      <w:r>
        <w:t>When a service is added, suspended or withdrawn, the applicable-law list is reviewed for that service and updated if needed.</w:t>
      </w:r>
    </w:p>
    <w:p>
      <w:r>
        <w:t>The review is dated and signed by the person who performed it.</w:t>
      </w:r>
    </w:p>
    <w:p>
      <w:pPr>
        <w:pStyle w:val="Heading2"/>
      </w:pPr>
      <w:r>
        <w:t>Adopt and maintain evidence-based clinical protocols</w:t>
      </w:r>
    </w:p>
    <w:p>
      <w:r>
        <w:t>A protocol that was adopted once and never dated, version-controlled or withdrawn when superseded leaves staff unable to tell a current instruction from an old one -- which is the same failure as having no protocol at all.</w:t>
      </w:r>
    </w:p>
    <w:p>
      <w:r>
        <w:t>Clinicians and heads of department adopt evidence-based clinical protocols or practice guidelines for the conditions this hospital treats, drawing on recognised evidence-based sources such as the Ministry of Health and Family Welfare's Standard Treatment Guidelines.</w:t>
      </w:r>
    </w:p>
    <w:p>
      <w:r>
        <w:t>Each protocol is dated, version-controlled, and marked as either in use or withdrawn; a withdrawn protocol is removed from every point of use the same day.</w:t>
      </w:r>
    </w:p>
    <w:p>
      <w:pPr>
        <w:pStyle w:val="Heading2"/>
      </w:pPr>
      <w:r>
        <w:t>Apply the same protocol in every setting that provides that care</w:t>
      </w:r>
    </w:p>
    <w:p>
      <w:r>
        <w:t>A protocol known on the ward and unknown in day-care, or a consultant's personal variant that differs between the out-patient clinic and the theatre, means a patient's care depends on which room they happen to be in rather than on their condition -- which is exactly what uniform care exists to stop.</w:t>
      </w:r>
    </w:p>
    <w:p>
      <w:r>
        <w:t>For each adopted protocol, the settings in which that condition is cared for, and the current version in use in each setting, are mapped and kept current.</w:t>
      </w:r>
    </w:p>
    <w:p>
      <w:r>
        <w:t>When a protocol is revised, every listed setting receives the new version and withdraws the old one on the same date -- a revision that reaches the ward and not the emergency area is a break in uniform care.</w:t>
      </w:r>
    </w:p>
    <w:p>
      <w:r>
        <w:t>Intensity of care may vary with clinical need (higher monitoring in intensive care, for example); the protocol's indications, contraindications and safety checks may not vary by setting.</w:t>
      </w:r>
    </w:p>
    <w:p>
      <w:r>
        <w:t>A contradiction found between settings is reported to the Quality/Accreditation Coordinator the same day it is found.</w:t>
      </w:r>
    </w:p>
    <w:p>
      <w:pPr>
        <w:pStyle w:val="Heading2"/>
      </w:pPr>
      <w:r>
        <w:t>Provide telemedicine under written guidance, or state in writing that none is offered</w:t>
      </w:r>
    </w:p>
    <w:p>
      <w:r>
        <w:t>Without a written decision either way, informal remote advice happens anyway -- a message, an unsigned prescription sent as a photo, a telephone instruction with no record -- and the hospital discovers it only after something has already gone wrong.</w:t>
      </w:r>
    </w:p>
    <w:p>
      <w:r>
        <w:t>Whether «Hospital Name» provides a telemedicine facility is a hospital-defined decision. If none is provided, that decision is written and displayed at points of contact, and informal remote advice is explicitly not treated as a telemedicine consultation.</w:t>
      </w:r>
    </w:p>
    <w:p>
      <w:r>
        <w:t>If a facility is provided, written guidance covers who may provide a consultation (a Registered Medical Practitioner only), how practitioner and patient identity are confirmed, how informed consent is obtained and recorded, which modes and platform are used, which services may and may not be provided remotely, how a prescription is produced, transmitted and filed, how an emergency presenting remotely is given first-aid advice and directed to in-person care rather than completed on the call, and how the consultation is filed against the patient's unique identification number.</w:t>
      </w:r>
    </w:p>
    <w:p>
      <w:r>
        <w:t>Every telemedicine consultation, or the absence of one under the written decision, is logged.</w:t>
      </w:r>
    </w:p>
    <w:p>
      <w:pPr>
        <w:pStyle w:val="Heading1"/>
      </w:pPr>
      <w:r>
        <w:t>5. Records</w:t>
      </w:r>
    </w:p>
    <w:p>
      <w:r>
        <w:t>This SOP produces and maintains Records 1-5 (see the COP.1 Records folder).</w:t>
      </w:r>
    </w:p>
    <w:p>
      <w:pPr>
        <w:pStyle w:val="Heading1"/>
      </w:pPr>
      <w:r>
        <w:t>6. Related SOPs</w:t>
      </w:r>
    </w:p>
    <w:p>
      <w:pPr>
        <w:pStyle w:val="ListParagraph"/>
      </w:pPr>
      <w:r>
        <w:t>Policy on Uniform Care Across Settings and Telemedicine (COP.1)</w:t>
      </w:r>
    </w:p>
    <w:p>
      <w:pPr>
        <w:pStyle w:val="ListParagraph"/>
      </w:pPr>
      <w:r>
        <w:t>Registration, Admission and Transfer SOP (AAC.2)</w:t>
      </w:r>
    </w:p>
    <w:p>
      <w:pPr>
        <w:pStyle w:val="Heading1"/>
      </w:pPr>
      <w:r>
        <w:t>7. Review</w:t>
      </w:r>
    </w:p>
    <w:p>
      <w:r>
        <w:t>This SOP is reviewed at least annually by the Quality/Accreditation Coordinator, and sooner when a misidentification, a contradiction between settings, or an unofficial remote consultation exposes a gap, or when the registration, service-definition, assessment or nursing-care policies this SOP depends on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Confirm two identifiers before every act of care — COP.1.a</w:t>
      </w:r>
    </w:p>
    <w:p>
      <w:pPr>
        <w:pStyle w:val="Heading2"/>
      </w:pPr>
      <w:r>
        <w:t>Keep the applicable-law list current against the service directory — COP.1.b</w:t>
      </w:r>
    </w:p>
    <w:p>
      <w:r>
        <w:rPr>
          <w:i/>
        </w:rPr>
        <w:t>Boundary with other standards:</w:t>
      </w:r>
    </w:p>
    <w:p>
      <w:pPr>
        <w:pStyle w:val="ListParagraph"/>
      </w:pPr>
      <w:r>
        <w:t>• Services are added, suspended or withdrawn under the service-definition policy (AAC.1), which this step does not restate.</w:t>
      </w:r>
    </w:p>
    <w:p>
      <w:pPr>
        <w:pStyle w:val="Heading2"/>
      </w:pPr>
      <w:r>
        <w:t>Adopt and maintain evidence-based clinical protocols — COP.1.c</w:t>
      </w:r>
    </w:p>
    <w:p>
      <w:r>
        <w:rPr>
          <w:i/>
        </w:rPr>
        <w:t>Boundary with other standards:</w:t>
      </w:r>
    </w:p>
    <w:p>
      <w:pPr>
        <w:pStyle w:val="ListParagraph"/>
      </w:pPr>
      <w:r>
        <w:t>• Nursing clinical practice guidelines remain owned by the nursing-care policy (COP.4.d) and are not duplicated here.</w:t>
      </w:r>
    </w:p>
    <w:p>
      <w:pPr>
        <w:pStyle w:val="Heading2"/>
      </w:pPr>
      <w:r>
        <w:t>Apply the same protocol in every setting that provides that care — COP.1.d</w:t>
      </w:r>
    </w:p>
    <w:p>
      <w:pPr>
        <w:pStyle w:val="Heading2"/>
      </w:pPr>
      <w:r>
        <w:t>Provide telemedicine under written guidance, or state in writing that none is offered — COP.1.e</w:t>
      </w:r>
    </w:p>
    <w:p>
      <w:r>
        <w:rPr>
          <w:i/>
        </w:rPr>
        <w:t>Verified source(s):</w:t>
      </w:r>
    </w:p>
    <w:p>
      <w:pPr>
        <w:pStyle w:val="ListParagraph"/>
      </w:pPr>
      <w:r>
        <w:t xml:space="preserve">• </w:t>
      </w:r>
      <w:r>
        <w:t xml:space="preserve">Board of Governors (in supersession of the Medical Council of India). (2020). </w:t>
      </w:r>
      <w:hyperlink r:id="rId9">
        <w:r>
          <w:rPr>
            <w:color w:val="0563C1"/>
            <w:u w:val="single"/>
          </w:rPr>
          <w:t>Telemedicine Practice Guidelines, 2020</w:t>
        </w:r>
      </w:hyperlink>
      <w:r>
        <w:t>. Appendix 5 of the Indian Medical Council (Professional Conduct, Etiquette and Ethics) Regulations, 2002, Ministry of Health and Family Welfare. The statutory basis for who may provide a telemedicine consultation, identity and consent requirements, prescription handling, emergency escalation, and record-keeping.</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Care of Patients chapter, standard COP.1.</w:t>
      </w:r>
    </w:p>
    <w:p>
      <w:pPr>
        <w:pStyle w:val="ListParagraph"/>
      </w:pPr>
      <w:r>
        <w:t xml:space="preserve">• </w:t>
      </w:r>
      <w:r>
        <w:t xml:space="preserve">Board of Governors (in supersession of the Medical Council of India). (2020). </w:t>
      </w:r>
      <w:hyperlink r:id="rId9">
        <w:r>
          <w:rPr>
            <w:color w:val="0563C1"/>
            <w:u w:val="single"/>
          </w:rPr>
          <w:t>Telemedicine Practice Guidelines, 2020</w:t>
        </w:r>
      </w:hyperlink>
      <w:r>
        <w:t>. Appendix 5 of the Indian Medical Council (Professional Conduct, Etiquette and Ethics) Regulations, 2002, Ministry of Health and Family Welfare. The statutory basis for who may provide a telemedicine consultation, identity and consent requirements, prescription handling, emergency escalation, and record-keeping.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vid19dashboard.mohfw.gov.in/pdf/Telemedicine.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