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Care in Intensive Care and High Dependency Units</w:t>
      </w:r>
    </w:p>
    <w:p>
      <w:r>
        <w:t>«Hospital Name» — SOP-COP.6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SOP-COP.6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the ICU and HDU admit and discharge patients against written criteria, how a bed shortage in those units is handled, how care is backed by written guidance, adequate staff and equipment, how infection-control practices are applied in these units, how a quality-assurance programme is run, how patients and families are counselled through the stay, and how end-of-life care is provided consistently and lawfully.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family has heard nothing from the ICU team except at admission, and now a decision about withdrawing treatment is being raised for the first time. This SOP is what requires periodic counselling through the whole stay -- so the family is never ambushed by a decision they were never prepared for.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an ICU or HDU bed is a scarce resource, not a location -- a patient admitted who cannot benefit occupies the bed of one who can -- and because an end-of-life decision made as an unwritten corridor agreement, with no record of who decided or why, is a decision the hospital cannot later show was lawful, consistent, or even made at all.</w:t>
            </w:r>
          </w:p>
        </w:tc>
      </w:tr>
    </w:tbl>
    <w:p/>
    <w:p>
      <w:r>
        <w:t>To define how the ICU and HDU admit and discharge patients against written criteria, handle a bed shortage, apply infection-control practices, run a quality-assurance programme, counsel patients and families, and provide end-of-life care.</w:t>
      </w:r>
    </w:p>
    <w:p>
      <w:pPr>
        <w:pStyle w:val="Heading1"/>
      </w:pPr>
      <w:r>
        <w:t>2. Scope</w:t>
      </w:r>
    </w:p>
    <w:p>
      <w:r>
        <w:t>so every staff member who admits to, cares for, discharges from, or counsels a family about these units follows the same standard.</w:t>
      </w:r>
    </w:p>
    <w:p>
      <w:r>
        <w:t>Applies to the intensive care unit and the high dependency unit, where the hospital operates them, and to every staff member who admits to, cares for a patient in, discharges from, or counsels a family about those units.</w:t>
      </w:r>
    </w:p>
    <w:p>
      <w:pPr>
        <w:pStyle w:val="Heading1"/>
      </w:pPr>
      <w:r>
        <w:t>3. Responsibility</w:t>
      </w:r>
    </w:p>
    <w:p>
      <w:r>
        <w:t>a bed occupied by the wrong patient, an infection practice never actually applied, or an undocumented end-of-life decision are each a failure the hospital cannot defend later.</w:t>
      </w:r>
    </w:p>
    <w:p>
      <w:r>
        <w:rPr>
          <w:b/>
        </w:rPr>
        <w:t xml:space="preserve">Person in Charge of the ICU/HDU: </w:t>
      </w:r>
      <w:r>
        <w:t>Holds and applies the admission/discharge criteria and the bed-shortage procedure, keeps the unit's written guidance (including its infection-control section) current, keeps staffing and equipment adequate, and applies the end-of-life pathway.</w:t>
      </w:r>
    </w:p>
    <w:p>
      <w:r>
        <w:rPr>
          <w:b/>
        </w:rPr>
        <w:t xml:space="preserve">Named Quality Lead for Critical Care: </w:t>
      </w:r>
      <w:r>
        <w:t>Operates the unit's quality-assurance programme, receives infection figures as inputs rather than re-defining them, and reports findings to the defined forum.</w:t>
      </w:r>
    </w:p>
    <w:p>
      <w:r>
        <w:rPr>
          <w:b/>
        </w:rPr>
        <w:t xml:space="preserve">Requesting/Treating Clinicians: </w:t>
      </w:r>
      <w:r>
        <w:t>Apply the admission criteria rather than treating an early-warning trigger as automatic admission, counsel the patient/family periodically, and follow the written end-of-life pathway rather than an undocumented conversation.</w:t>
      </w:r>
    </w:p>
    <w:p>
      <w:r>
        <w:rPr>
          <w:b/>
        </w:rPr>
        <w:t xml:space="preserve">Nursing Staff of the Unit: </w:t>
      </w:r>
      <w:r>
        <w:t>Follow the unit's written guidance and the hospital's infection-control practices as documented in that guidance, and complete counselling and end-of-life documentation.</w:t>
      </w:r>
    </w:p>
    <w:p>
      <w:r>
        <w:rPr>
          <w:b/>
        </w:rPr>
        <w:t xml:space="preserve">Quality/Accreditation Coordinator: </w:t>
      </w:r>
      <w:r>
        <w:t>Audits admission/discharge decisions, infection-control documentation, QA review records, counselling notes and end-of-life records on the defined interval, reporting to the Head of the Institution.</w:t>
      </w:r>
    </w:p>
    <w:p>
      <w:pPr>
        <w:pStyle w:val="Heading1"/>
      </w:pPr>
      <w:r>
        <w:t>4. What to do</w:t>
      </w:r>
    </w:p>
    <w:p>
      <w:pPr>
        <w:pStyle w:val="Heading2"/>
      </w:pPr>
      <w:r>
        <w:t>Admission/discharge criteria and the bed-shortage procedure</w:t>
      </w:r>
    </w:p>
    <w:p>
      <w:r>
        <w:t>An ICU or HDU bed is a scarce resource, not a location -- a patient admitted who cannot benefit occupies the bed of one who can, and a patient refused without the shortage procedure is a refusal of care the hospital holds out.</w:t>
      </w:r>
    </w:p>
    <w:p>
      <w:r>
        <w:t>The hospital's written admission criteria for the ICU and, separately, for the HDU are the criteria actually used to decide every request from a ward, the emergency area, or the operation theatre -- not a courtesy admission because a bed happens to be free.</w:t>
      </w:r>
    </w:p>
    <w:p>
      <w:r>
        <w:t>The hospital's written discharge criteria from the ICU and HDU to a lower level of care govern every unit discharge; a patient leaves the unit because the criteria are met, not because a new admission needs the bed with no reason written.</w:t>
      </w:r>
    </w:p>
    <w:p>
      <w:r>
        <w:t>When the unit has no bed for a patient who meets the admission criteria, the hospital's defined bed-shortage procedure -- who decides, the options in order, and how the decision is recorded -- is followed; this is never left to an unnamed corridor arrangement.</w:t>
      </w:r>
    </w:p>
    <w:p>
      <w:pPr>
        <w:pStyle w:val="Heading2"/>
      </w:pPr>
      <w:r>
        <w:t>Written guidance, adequate staff and equipment</w:t>
      </w:r>
    </w:p>
    <w:p>
      <w:r>
        <w:t>Care in a critical-care unit that is not actually backed by written guidance, enough trained staff, and working equipment is a claim, not a service.</w:t>
      </w:r>
    </w:p>
    <w:p>
      <w:r>
        <w:t>The hospital's written guidance for care in the ICU and HDU, covering at least monitoring, equipment use, and nursing/medical work, is held and followed in each unit.</w:t>
      </w:r>
    </w:p>
    <w:p>
      <w:r>
        <w:t>The hospital's defined staffing of each unit, including out of hours, is maintained at a level adequate for the care the unit's own admission criteria claim, using registration already verified under human-resource credentialing.</w:t>
      </w:r>
    </w:p>
    <w:p>
      <w:r>
        <w:t>The hospital's defined equipment inventory of each unit is kept current; equipment that is out of service is never counted as backing a service the unit still claims, and if a claimed service genuinely cannot be delivered it is suspended and requesting clinicians are told.</w:t>
      </w:r>
    </w:p>
    <w:p>
      <w:pPr>
        <w:pStyle w:val="Heading2"/>
      </w:pPr>
      <w:r>
        <w:t>Infection-control practices documented in the unit's own guidance and followed</w:t>
      </w:r>
    </w:p>
    <w:p>
      <w:r>
        <w:t>A hospital can have excellent infection-control policies and still infect its ventilated patients if the ICU's own guidance never actually names and applies them -- this step closes that gap without creating a second, drifting bundle book.</w:t>
      </w:r>
    </w:p>
    <w:p>
      <w:r>
        <w:t>The unit's written guidance contains an infection-control section that names -- and does not reprint -- the hospital's existing hand hygiene, standard and transmission-based precautions and PPE requirements, the device bundles that apply to patients in this unit (ventilator, central-line, urinary-catheter, and surgical-site where relevant), and the surveillance the unit cooperates with.</w:t>
      </w:r>
    </w:p>
    <w:p>
      <w:r>
        <w:t>Those practices are actually followed in this unit -- hand hygiene at the required moments, transmission-based precautions when assigned, every eligible device's bundle elements performed, and device-day and other surveillance inputs supplied rather than guessed.</w:t>
      </w:r>
    </w:p>
    <w:p>
      <w:r>
        <w:t>If a practice this unit needs is missing from the hospital's infection-control policies, the gap is raised to the Infection Prevention and Control Committee for those policies to close -- it is never filled by inventing a local bundle in this unit's own guidance.</w:t>
      </w:r>
    </w:p>
    <w:p>
      <w:pPr>
        <w:pStyle w:val="Heading2"/>
      </w:pPr>
      <w:r>
        <w:t>Quality-assurance programme for intensive and high-dependency care</w:t>
      </w:r>
    </w:p>
    <w:p>
      <w:r>
        <w:t>A folder of critical-care indicators nobody discusses is a display, not assurance -- a programme has to actually have an owner, a forum, and actions that get closed.</w:t>
      </w:r>
    </w:p>
    <w:p>
      <w:r>
        <w:t>The hospital's named quality lead for intensive and high-dependency care is accountable for the programme running and for reporting its findings.</w:t>
      </w:r>
    </w:p>
    <w:p>
      <w:r>
        <w:t>The hospital's defined quality indicators for the ICU/HDU are collected; infection rates, bundle-compliance figures and device-day denominators are received from the hospital's existing infection-control policies as inputs, never re-collected or re-defined under a second definition here.</w:t>
      </w:r>
    </w:p>
    <w:p>
      <w:r>
        <w:t>Indicators are reviewed at the defined forum and interval, and every review that identifies a problem produces a corrective or preventive action with an owner and a due date.</w:t>
      </w:r>
    </w:p>
    <w:p>
      <w:pPr>
        <w:pStyle w:val="Heading2"/>
      </w:pPr>
      <w:r>
        <w:t>Periodic counselling of the patient and/or family</w:t>
      </w:r>
    </w:p>
    <w:p>
      <w:r>
        <w:t>A family that only hears from the unit when a decision to withdraw treatment is being asked for has not been counselled -- it has been ambushed.</w:t>
      </w:r>
    </w:p>
    <w:p>
      <w:r>
        <w:t>The hospital's defined counselling arrangement -- who counsels, how often, and what is covered at a minimum -- is followed for every ICU/HDU stay, with counselling offered periodically through the stay -- not only at admission and not only when a withdrawal decision is being discussed.</w:t>
      </w:r>
    </w:p>
    <w:p>
      <w:r>
        <w:t>Where the patient can participate, the patient is included directly; where the patient cannot, the family is counselled in the patient's place.</w:t>
      </w:r>
    </w:p>
    <w:p>
      <w:r>
        <w:t>Each counselling episode is recorded against the patient's unique identification number, distinct from any end-of-life discussion.</w:t>
      </w:r>
    </w:p>
    <w:p>
      <w:pPr>
        <w:pStyle w:val="Heading2"/>
      </w:pPr>
      <w:r>
        <w:t>End-of-life care, consistent and legally consonant</w:t>
      </w:r>
    </w:p>
    <w:p>
      <w:r>
        <w:t>An end-of-life decision made as an unwritten corridor agreement, with no record of who decided or why, is a decision the hospital cannot later show was lawful, consistent, or even made at all.</w:t>
      </w:r>
    </w:p>
    <w:p>
      <w:r>
        <w:t>The hospital's written end-of-life pathway -- who may decide, how the decision is recorded, and where it is held -- is the single pathway used across the ICU, the HDU, and every other location of the hospital where a patient dies under its care -- not an intensive-care speciality invented at the last bed.</w:t>
      </w:r>
    </w:p>
    <w:p>
      <w:r>
        <w:t>Withholding or withdrawal of life-sustaining treatment, and the status of any advance directive, are handled in consonance with Common Cause v Union of India (2018); an informal family request or an undocumented 'comfort only' note is never treated as completing that legal process.</w:t>
      </w:r>
    </w:p>
    <w:p>
      <w:r>
        <w:t>Where brain-stem death declaration forms part of this hospital's pathway, it is certified by a Board of medical experts under the Transplantation of Human Organs and Tissues Act, 1994; counselling accompanies every application of this pathway, and a decision that resuscitation will not be attempted is recorded here rather than left unwritten.</w:t>
      </w:r>
    </w:p>
    <w:p>
      <w:pPr>
        <w:pStyle w:val="Heading1"/>
      </w:pPr>
      <w:r>
        <w:t>5. Records</w:t>
      </w:r>
    </w:p>
    <w:p>
      <w:r>
        <w:t>This SOP produces and maintains Records 1-6 (see the COP.6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Policy on Care in Intensive Care and High Dependency Units (COP.6)</w:t>
      </w:r>
    </w:p>
    <w:p>
      <w:pPr>
        <w:pStyle w:val="ListParagraph"/>
      </w:pPr>
      <w:r>
        <w:t>SOP — Transfusion of Blood and Blood Components (COP.5)</w:t>
      </w:r>
    </w:p>
    <w:p>
      <w:pPr>
        <w:pStyle w:val="ListParagraph"/>
      </w:pPr>
      <w:r>
        <w:t>Hospital's Infection-Control SOPs (hand hygiene/PPE, device bundles, surveillance)</w:t>
      </w:r>
    </w:p>
    <w:p>
      <w:pPr>
        <w:pStyle w:val="Heading1"/>
      </w:pPr>
      <w:r>
        <w:t>7. Review</w:t>
      </w:r>
    </w:p>
    <w:p>
      <w:r>
        <w:t>This SOP is reviewed annually, or sooner if an off-criteria admission, a shortage handled without the procedure, an infection-control drift into a local bundle, or an undocumented end-of-life decision exposes a gap, or if the infection-control, bed-management, assessment, or continuity-of-care processes this SOP hands work to are revised.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Admission/discharge criteria and the bed-shortage procedure — COP.6.a</w:t>
      </w:r>
    </w:p>
    <w:p>
      <w:pPr>
        <w:pStyle w:val="Heading2"/>
      </w:pPr>
      <w:r>
        <w:t>Written guidance, adequate staff and equipment — COP.6.b</w:t>
      </w:r>
    </w:p>
    <w:p>
      <w:pPr>
        <w:pStyle w:val="Heading2"/>
      </w:pPr>
      <w:r>
        <w:t>Infection-control practices documented in the unit's own guidance and followed — COP.6.c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The hospital's infection-control SOPs (hand hygiene/PPE, device bundles, surveillance) are owned elsewhere (HIC chapter); this step owns only how this unit applies them, not how they are written.</w:t>
      </w:r>
    </w:p>
    <w:p>
      <w:pPr>
        <w:pStyle w:val="Heading2"/>
      </w:pPr>
      <w:r>
        <w:t>Quality-assurance programme for intensive and high-dependency care — COP.6.d</w:t>
      </w:r>
    </w:p>
    <w:p>
      <w:pPr>
        <w:pStyle w:val="Heading2"/>
      </w:pPr>
      <w:r>
        <w:t>Periodic counselling of the patient and/or family — COP.6.e</w:t>
      </w:r>
    </w:p>
    <w:p>
      <w:pPr>
        <w:pStyle w:val="Heading2"/>
      </w:pPr>
      <w:r>
        <w:t>End-of-life care, consistent and legally consonant — COP.6.f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Supreme Court of India. (2018). </w:t>
      </w:r>
      <w:hyperlink r:id="rId9">
        <w:r>
          <w:rPr>
            <w:color w:val="0563C1"/>
            <w:u w:val="single"/>
          </w:rPr>
          <w:t>Common Cause (A Regd. Society) v Union of India</w:t>
        </w:r>
      </w:hyperlink>
      <w:r>
        <w:t>, Writ Petition (Civil) No. 215 of 2005 (decided 9 March 2018), which held that the right to die with dignity -- including the right to execute an advance medical directive and to have life-sustaining treatment withheld or withdrawn under safeguards -- is part of the right to life under Article 21 of the Constitution of India.</w:t>
      </w:r>
    </w:p>
    <w:p>
      <w:pPr>
        <w:pStyle w:val="ListParagraph"/>
      </w:pPr>
      <w:r>
        <w:t xml:space="preserve">• </w:t>
      </w:r>
      <w:r>
        <w:t xml:space="preserve">Government of India. (1994). </w:t>
      </w:r>
      <w:hyperlink r:id="rId10">
        <w:r>
          <w:rPr>
            <w:color w:val="0563C1"/>
            <w:u w:val="single"/>
          </w:rPr>
          <w:t>The Transplantation of Human Organs and Tissues Act, 1994</w:t>
        </w:r>
      </w:hyperlink>
      <w:r>
        <w:t xml:space="preserve"> (Act No. 42 of 1994). ss. 9, 10(1)(a), 14(1) and 19: no hospital may commence organ-removal, storage or transplantation activity unless registered; a living-donor transplant requires the donor to be a near relative or Authorisation Committee approval; commercial dealing in human organs is a punishable offence. s. 2(d) and s. 3(6) separately define brain-stem death and require its certification by a Board of medical experts.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1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COP.6.</w:t>
      </w:r>
    </w:p>
    <w:p>
      <w:pPr>
        <w:pStyle w:val="ListParagraph"/>
      </w:pPr>
      <w:r>
        <w:t xml:space="preserve">• </w:t>
      </w:r>
      <w:r>
        <w:t xml:space="preserve">Supreme Court of India. (2018). </w:t>
      </w:r>
      <w:hyperlink r:id="rId9">
        <w:r>
          <w:rPr>
            <w:color w:val="0563C1"/>
            <w:u w:val="single"/>
          </w:rPr>
          <w:t>Common Cause (A Regd. Society) v Union of India</w:t>
        </w:r>
      </w:hyperlink>
      <w:r>
        <w:t>, Writ Petition (Civil) No. 215 of 2005 (decided 9 March 2018), which held that the right to die with dignity -- including the right to execute an advance medical directive and to have life-sustaining treatment withheld or withdrawn under safeguards -- is part of the right to life under Article 21 of the Constitution of India.</w:t>
      </w:r>
    </w:p>
    <w:p>
      <w:pPr>
        <w:pStyle w:val="ListParagraph"/>
      </w:pPr>
      <w:r>
        <w:t xml:space="preserve">• </w:t>
      </w:r>
      <w:r>
        <w:t xml:space="preserve">Government of India. (1994). </w:t>
      </w:r>
      <w:hyperlink r:id="rId10">
        <w:r>
          <w:rPr>
            <w:color w:val="0563C1"/>
            <w:u w:val="single"/>
          </w:rPr>
          <w:t>The Transplantation of Human Organs and Tissues Act, 1994</w:t>
        </w:r>
      </w:hyperlink>
      <w:r>
        <w:t xml:space="preserve"> (Act No. 42 of 1994). ss. 9, 10(1)(a), 14(1) and 19: no hospital may commence organ-removal, storage or transplantation activity unless registered; a living-donor transplant requires the donor to be a near relative or Authorisation Committee approval; commercial dealing in human organs is a punishable offence. s. 2(d) and s. 3(6) separately define brain-stem death and require its certification by a Board of medical experts.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observer.in/cases/common-cause-euthanasia-and-the-right-to-die-with-dignity-case-background/" TargetMode="External"/><Relationship Id="rId10" Type="http://schemas.openxmlformats.org/officeDocument/2006/relationships/hyperlink" Target="https://www.indiacode.nic.in/bitstream/123456789/19260/1/thoa_act_1994.pdf" TargetMode="External"/><Relationship Id="rId11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