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Discharge Process and Discharge Summary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 xml:space="preserve">It covers the seven elements AAC.8.a–g: discharge summary given to all patients, identification and dates, clinical content, follow-up and instructions, urgent-care instructions, death summary, and planned discharge with special-needs identification.</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 xml:space="preserve">For LAMA patients, the discharge summary includes what was advised, the risks of leaving, and that the patient left against medical advice. The LAMA documentation stays with PRE.3 (consent); this step owns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 (as generated under AAC.2.b);</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Root-cause analysis is required when the same discharge-summary defect recurs; the organisation's defined recurrence threshold applies, as documented in the hospital's Root Cause Analysis procedure.</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LAMA</w:t>
            </w:r>
          </w:p>
        </w:tc>
        <w:tc>
          <w:tcPr>
            <w:tcW w:type="pct" w:w="22%"/>
            <w:tcBorders>
              <w:top w:val="single" w:color="999999" w:sz="4"/>
              <w:left w:val="single" w:color="999999" w:sz="4"/>
              <w:bottom w:val="single" w:color="999999" w:sz="4"/>
              <w:right w:val="single" w:color="999999" w:sz="4"/>
            </w:tcBorders>
            <w:shd w:fill="E8E8E8" w:val="clear"/>
          </w:tcPr>
          <w:p>
            <w:r>
              <w:rPr>
                <w:b w:val="0"/>
              </w:rPr>
              <w:t>leaving against medical advice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AAC.8.</w:t>
      </w:r>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«AAC/POL/08»  |  Controlled document  |  Policy on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