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Procedural Sedation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Root-cause analysis is required when a sedation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ACLS</w:t>
            </w:r>
          </w:p>
        </w:tc>
        <w:tc>
          <w:tcPr>
            <w:tcW w:type="pct" w:w="22%"/>
            <w:tcBorders>
              <w:top w:val="single" w:color="999999" w:sz="4"/>
              <w:left w:val="single" w:color="999999" w:sz="4"/>
              <w:bottom w:val="single" w:color="999999" w:sz="4"/>
              <w:right w:val="single" w:color="999999" w:sz="4"/>
            </w:tcBorders>
            <w:shd w:fill="E8E8E8" w:val="clear"/>
          </w:tcPr>
          <w:p>
            <w:r>
              <w:rPr>
                <w:b w:val="0"/>
              </w:rPr>
              <w:t>advanced cardiovascular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«COP/POL/09»  |  Controlled document  |  Policy on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