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Surveillance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ATP</w:t>
            </w:r>
          </w:p>
        </w:tc>
        <w:tc>
          <w:tcPr>
            <w:tcW w:type="pct" w:w="22%"/>
            <w:tcBorders>
              <w:top w:val="single" w:color="999999" w:sz="4"/>
              <w:left w:val="single" w:color="999999" w:sz="4"/>
              <w:bottom w:val="single" w:color="999999" w:sz="4"/>
              <w:right w:val="single" w:color="999999" w:sz="4"/>
            </w:tcBorders>
            <w:shd w:fill="E8E8E8" w:val="clear"/>
          </w:tcPr>
          <w:p>
            <w:r>
              <w:rPr>
                <w:b w:val="0"/>
              </w:rPr>
              <w:t>adenosine triphosphate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CFU</w:t>
            </w:r>
          </w:p>
        </w:tc>
        <w:tc>
          <w:tcPr>
            <w:tcW w:type="pct" w:w="22%"/>
            <w:tcBorders>
              <w:top w:val="single" w:color="999999" w:sz="4"/>
              <w:left w:val="single" w:color="999999" w:sz="4"/>
              <w:bottom w:val="single" w:color="999999" w:sz="4"/>
              <w:right w:val="single" w:color="999999" w:sz="4"/>
            </w:tcBorders>
            <w:shd w:fill="E8E8E8" w:val="clear"/>
          </w:tcPr>
          <w:p>
            <w:r>
              <w:rPr>
                <w:b w:val="0"/>
              </w:rPr>
              <w:t>colony-forming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CRE</w:t>
            </w:r>
          </w:p>
        </w:tc>
        <w:tc>
          <w:tcPr>
            <w:tcW w:type="pct" w:w="22%"/>
            <w:tcBorders>
              <w:top w:val="single" w:color="999999" w:sz="4"/>
              <w:left w:val="single" w:color="999999" w:sz="4"/>
              <w:bottom w:val="single" w:color="999999" w:sz="4"/>
              <w:right w:val="single" w:color="999999" w:sz="4"/>
            </w:tcBorders>
            <w:shd w:fill="E8E8E8" w:val="clear"/>
          </w:tcPr>
          <w:p>
            <w:r>
              <w:rPr>
                <w:b w:val="0"/>
              </w:rPr>
              <w:t>carbapenem-resistant Enterobacterales</w:t>
            </w:r>
          </w:p>
        </w:tc>
      </w:tr>
      <w:tr>
        <w:tc>
          <w:tcPr>
            <w:tcW w:type="pct" w:w="22%"/>
            <w:tcBorders>
              <w:top w:val="single" w:color="999999" w:sz="4"/>
              <w:left w:val="single" w:color="999999" w:sz="4"/>
              <w:bottom w:val="single" w:color="999999" w:sz="4"/>
              <w:right w:val="single" w:color="999999" w:sz="4"/>
            </w:tcBorders>
            <w:shd w:fill="E8E8E8" w:val="clear"/>
          </w:tcPr>
          <w:p>
            <w:r>
              <w:rPr>
                <w:b w:val="0"/>
              </w:rPr>
              <w:t>ESBL</w:t>
            </w:r>
          </w:p>
        </w:tc>
        <w:tc>
          <w:tcPr>
            <w:tcW w:type="pct" w:w="22%"/>
            <w:tcBorders>
              <w:top w:val="single" w:color="999999" w:sz="4"/>
              <w:left w:val="single" w:color="999999" w:sz="4"/>
              <w:bottom w:val="single" w:color="999999" w:sz="4"/>
              <w:right w:val="single" w:color="999999" w:sz="4"/>
            </w:tcBorders>
            <w:shd w:fill="E8E8E8" w:val="clear"/>
          </w:tcPr>
          <w:p>
            <w:r>
              <w:rPr>
                <w:b w:val="0"/>
              </w:rPr>
              <w:t>extended-spectrum beta-lactamase</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MDRO</w:t>
            </w:r>
          </w:p>
        </w:tc>
        <w:tc>
          <w:tcPr>
            <w:tcW w:type="pct" w:w="22%"/>
            <w:tcBorders>
              <w:top w:val="single" w:color="999999" w:sz="4"/>
              <w:left w:val="single" w:color="999999" w:sz="4"/>
              <w:bottom w:val="single" w:color="999999" w:sz="4"/>
              <w:right w:val="single" w:color="999999" w:sz="4"/>
            </w:tcBorders>
            <w:shd w:fill="E8E8E8" w:val="clear"/>
          </w:tcPr>
          <w:p>
            <w:r>
              <w:rPr>
                <w:b w:val="0"/>
              </w:rPr>
              <w:t>multi-drug-resistant organism</w:t>
            </w:r>
          </w:p>
        </w:tc>
      </w:tr>
      <w:tr>
        <w:tc>
          <w:tcPr>
            <w:tcW w:type="pct" w:w="22%"/>
            <w:tcBorders>
              <w:top w:val="single" w:color="999999" w:sz="4"/>
              <w:left w:val="single" w:color="999999" w:sz="4"/>
              <w:bottom w:val="single" w:color="999999" w:sz="4"/>
              <w:right w:val="single" w:color="999999" w:sz="4"/>
            </w:tcBorders>
            <w:shd w:fill="E8E8E8" w:val="clear"/>
          </w:tcPr>
          <w:p>
            <w:r>
              <w:rPr>
                <w:b w:val="0"/>
              </w:rPr>
              <w:t>MRSA</w:t>
            </w:r>
          </w:p>
        </w:tc>
        <w:tc>
          <w:tcPr>
            <w:tcW w:type="pct" w:w="22%"/>
            <w:tcBorders>
              <w:top w:val="single" w:color="999999" w:sz="4"/>
              <w:left w:val="single" w:color="999999" w:sz="4"/>
              <w:bottom w:val="single" w:color="999999" w:sz="4"/>
              <w:right w:val="single" w:color="999999" w:sz="4"/>
            </w:tcBorders>
            <w:shd w:fill="E8E8E8" w:val="clear"/>
          </w:tcPr>
          <w:p>
            <w:r>
              <w:rPr>
                <w:b w:val="0"/>
              </w:rPr>
              <w:t>methicillin-resistant Staphylococcus aureus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RLU</w:t>
            </w:r>
          </w:p>
        </w:tc>
        <w:tc>
          <w:tcPr>
            <w:tcW w:type="pct" w:w="22%"/>
            <w:tcBorders>
              <w:top w:val="single" w:color="999999" w:sz="4"/>
              <w:left w:val="single" w:color="999999" w:sz="4"/>
              <w:bottom w:val="single" w:color="999999" w:sz="4"/>
              <w:right w:val="single" w:color="999999" w:sz="4"/>
            </w:tcBorders>
            <w:shd w:fill="E8E8E8" w:val="clear"/>
          </w:tcPr>
          <w:p>
            <w:r>
              <w:rPr>
                <w:b w:val="0"/>
              </w:rPr>
              <w:t>relative light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VRE</w:t>
            </w:r>
          </w:p>
        </w:tc>
        <w:tc>
          <w:tcPr>
            <w:tcW w:type="pct" w:w="22%"/>
            <w:tcBorders>
              <w:top w:val="single" w:color="999999" w:sz="4"/>
              <w:left w:val="single" w:color="999999" w:sz="4"/>
              <w:bottom w:val="single" w:color="999999" w:sz="4"/>
              <w:right w:val="single" w:color="999999" w:sz="4"/>
            </w:tcBorders>
            <w:shd w:fill="E8E8E8" w:val="clear"/>
          </w:tcPr>
          <w:p>
            <w:r>
              <w:rPr>
                <w:b w:val="0"/>
              </w:rPr>
              <w:t>vancomycin-resistant Enterococcus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HIC/POL/05  |  Controlled document  |  Policy on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