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Induction, Training and Development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AED</w:t>
            </w:r>
          </w:p>
        </w:tc>
        <w:tc>
          <w:tcPr>
            <w:tcW w:type="pct" w:w="22%"/>
            <w:tcBorders>
              <w:top w:val="single" w:color="999999" w:sz="4"/>
              <w:left w:val="single" w:color="999999" w:sz="4"/>
              <w:bottom w:val="single" w:color="999999" w:sz="4"/>
              <w:right w:val="single" w:color="999999" w:sz="4"/>
            </w:tcBorders>
            <w:shd w:fill="E8E8E8" w:val="clear"/>
          </w:tcPr>
          <w:p>
            <w:r>
              <w:rPr>
                <w:b w:val="0"/>
              </w:rPr>
              <w:t>automated external defibrillator</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«HRM/POL/02»  |  Controlled document  |  Policy on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