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Needs of Stakeholders — Capture and Analysis of Data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spacing w:after="140"/>
      </w:pPr>
      <w:r>
        <w:rPr>
          <w:sz w:val="22"/>
          <w:szCs w:val="22"/>
        </w:rPr>
        <w:t xml:space="preserve">IMS.1 owns the information-needs system and the data-capture/analysis method. IMS.2 owns the medical record itself. IMS.4 owns confidentiality, integrity and security. IMS.5 owns document control and retention.</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spacing w:after="140"/>
      </w:pPr>
      <w:r>
        <w:rPr>
          <w:sz w:val="22"/>
          <w:szCs w:val="22"/>
        </w:rPr>
        <w:t xml:space="preserve">It covers the five elements IMS.1.a–e. It does not cover medical-record contents (IMS.2), continuity entries (IMS.3), confidentiality/security mechanics (IMS.4), retention and destruction (IMS.5), or medical-record review (IMS.6).</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The register is reviewed «annually» and when a new service, a new statutory return or a significant change in patient mix is introduced. Obsolete information is withdrawn so that staff, patients and visitors are not confused by out-of-date notices.</w:t>
      </w:r>
    </w:p>
    <w:p>
      <w:pPr>
        <w:spacing w:after="140"/>
      </w:pPr>
      <w:r>
        <w:rPr>
          <w:sz w:val="22"/>
          <w:szCs w:val="22"/>
        </w:rPr>
        <w:t xml:space="preserve">IMS.1.a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 xml:space="preserve">Storage media, whether paper or electronic, are labelled and indexed so that a named record can be found without searching the whole store. IMS.5 owns retention periods and document control; this step owns that stored data can be retrieved to meet a current need.</w:t>
      </w:r>
    </w:p>
    <w:p>
      <w:pPr>
        <w:spacing w:after="140"/>
      </w:pPr>
      <w:r>
        <w:rPr>
          <w:sz w:val="22"/>
          <w:szCs w:val="22"/>
        </w:rPr>
        <w:t xml:space="preserve">IMS.1.c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 xml:space="preserve">IMS.4 owns the disclosure gate for privileged health information. A contribution that includes patient-identifiable data also meets IMS.4.d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 xml:space="preserve">PSQ.2 owns the key-indicator set. This step owns that collection is standardised so analysis is possible. Indicator choice stays with PSQ.</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«IMS/POL/01»  |  Controlled document  |  Policy on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